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D9DD2DC" w:rsidR="00E978D0" w:rsidRPr="00B57B36" w:rsidRDefault="00B94E5D" w:rsidP="00E978D0">
      <w:pPr>
        <w:pStyle w:val="CETTitle"/>
      </w:pPr>
      <w:r w:rsidRPr="00B94E5D">
        <w:t>Application of an Advanced System for the Monitoring of WWTP Odour Emissions and Benefits of its Use</w:t>
      </w:r>
    </w:p>
    <w:p w14:paraId="2B3CA35C" w14:textId="636DE66E" w:rsidR="00E978D0" w:rsidRPr="00B57B36" w:rsidRDefault="00EE5C08" w:rsidP="00AB5011">
      <w:pPr>
        <w:pStyle w:val="CETAuthors"/>
      </w:pPr>
      <w:r>
        <w:t>Daniel Almarcha</w:t>
      </w:r>
      <w:r w:rsidR="00600535" w:rsidRPr="00B57B36">
        <w:rPr>
          <w:vertAlign w:val="superscript"/>
        </w:rPr>
        <w:t>a</w:t>
      </w:r>
      <w:r w:rsidR="00600535" w:rsidRPr="00B57B36">
        <w:t xml:space="preserve">, </w:t>
      </w:r>
      <w:r>
        <w:t>Manuel Almarcha</w:t>
      </w:r>
      <w:r>
        <w:rPr>
          <w:vertAlign w:val="superscript"/>
        </w:rPr>
        <w:t>a</w:t>
      </w:r>
      <w:r w:rsidR="00600535" w:rsidRPr="00B57B36">
        <w:t xml:space="preserve">, </w:t>
      </w:r>
      <w:r>
        <w:t>Martí de Riquer</w:t>
      </w:r>
      <w:r w:rsidRPr="00B57B36">
        <w:rPr>
          <w:vertAlign w:val="superscript"/>
        </w:rPr>
        <w:t>b</w:t>
      </w:r>
      <w:r w:rsidRPr="00B57B36">
        <w:t>,</w:t>
      </w:r>
      <w:r>
        <w:t xml:space="preserve"> Raul Arasa</w:t>
      </w:r>
      <w:r w:rsidRPr="00B57B36">
        <w:rPr>
          <w:vertAlign w:val="superscript"/>
        </w:rPr>
        <w:t>b</w:t>
      </w:r>
      <w:r w:rsidRPr="00B57B36">
        <w:t xml:space="preserve">, </w:t>
      </w:r>
      <w:r>
        <w:t>Jesica Piñon</w:t>
      </w:r>
      <w:r w:rsidRPr="00B57B36">
        <w:rPr>
          <w:vertAlign w:val="superscript"/>
        </w:rPr>
        <w:t>b</w:t>
      </w:r>
      <w:r w:rsidRPr="00B57B36">
        <w:t>,</w:t>
      </w:r>
      <w:r>
        <w:t xml:space="preserve"> Marta Aleixandre</w:t>
      </w:r>
      <w:r>
        <w:rPr>
          <w:vertAlign w:val="superscript"/>
        </w:rPr>
        <w:t>c</w:t>
      </w:r>
      <w:r w:rsidRPr="00B57B36">
        <w:t xml:space="preserve">, </w:t>
      </w:r>
      <w:r>
        <w:t>Enrique Baquerizo</w:t>
      </w:r>
      <w:r>
        <w:rPr>
          <w:vertAlign w:val="superscript"/>
        </w:rPr>
        <w:t>d</w:t>
      </w:r>
    </w:p>
    <w:p w14:paraId="5053C5A8" w14:textId="4F6AB9E8" w:rsidR="00E978D0" w:rsidRPr="00B57B36" w:rsidRDefault="00E978D0" w:rsidP="00E978D0">
      <w:pPr>
        <w:pStyle w:val="CETAddress"/>
      </w:pPr>
      <w:r w:rsidRPr="00B57B36">
        <w:rPr>
          <w:vertAlign w:val="superscript"/>
        </w:rPr>
        <w:t>a</w:t>
      </w:r>
      <w:r w:rsidRPr="00B57B36">
        <w:t>A</w:t>
      </w:r>
      <w:r w:rsidR="00897E1D">
        <w:t>tmos-Tek. Rosselló 64, 7-1, 08029 Barcelona, Spain.</w:t>
      </w:r>
    </w:p>
    <w:p w14:paraId="38D29194" w14:textId="02C83F2C" w:rsidR="00E978D0" w:rsidRDefault="00E978D0" w:rsidP="00E978D0">
      <w:pPr>
        <w:pStyle w:val="CETAddress"/>
      </w:pPr>
      <w:r w:rsidRPr="00B57B36">
        <w:rPr>
          <w:vertAlign w:val="superscript"/>
        </w:rPr>
        <w:t>b</w:t>
      </w:r>
      <w:r w:rsidR="00897E1D">
        <w:t>Meteosim. Baldiri Reixac 10-12, 08028 Barcelona, Spain.</w:t>
      </w:r>
      <w:r w:rsidRPr="00B57B36">
        <w:t xml:space="preserve"> </w:t>
      </w:r>
    </w:p>
    <w:p w14:paraId="5532F436" w14:textId="10991733" w:rsidR="00897E1D" w:rsidRPr="00B57B36" w:rsidRDefault="00897E1D" w:rsidP="00897E1D">
      <w:pPr>
        <w:pStyle w:val="CETAddress"/>
      </w:pPr>
      <w:r>
        <w:rPr>
          <w:vertAlign w:val="superscript"/>
        </w:rPr>
        <w:t>c</w:t>
      </w:r>
      <w:r>
        <w:t>Sociedad de Fomento Agrícola Castellonense S.A. (FACSA), Calle Mayor, 82-84, 12001 Castelló de la Plana, Spain.</w:t>
      </w:r>
      <w:r w:rsidRPr="00B57B36">
        <w:t xml:space="preserve"> </w:t>
      </w:r>
    </w:p>
    <w:p w14:paraId="374F1FF5" w14:textId="2E1A0B45" w:rsidR="00897E1D" w:rsidRPr="00B57B36" w:rsidRDefault="00897E1D" w:rsidP="00066427">
      <w:pPr>
        <w:pStyle w:val="CETAddress"/>
      </w:pPr>
      <w:r>
        <w:rPr>
          <w:vertAlign w:val="superscript"/>
        </w:rPr>
        <w:t>d</w:t>
      </w:r>
      <w:r w:rsidR="00066427">
        <w:t>Empresa Municipal de Aguas de Sevilla S.A. (EMASESA) Calle Escuelas Pías, 1, 41003 Sevilla</w:t>
      </w:r>
      <w:r>
        <w:t>, Spain.</w:t>
      </w:r>
      <w:r w:rsidRPr="00B57B36">
        <w:t xml:space="preserve"> </w:t>
      </w:r>
    </w:p>
    <w:p w14:paraId="0127A28D" w14:textId="7B3D6A40" w:rsidR="00E978D0" w:rsidRPr="00B57B36" w:rsidRDefault="00066427" w:rsidP="00E978D0">
      <w:pPr>
        <w:pStyle w:val="CETemail"/>
      </w:pPr>
      <w:r>
        <w:t>dalmarcha@chempharma-env.com</w:t>
      </w:r>
    </w:p>
    <w:p w14:paraId="5E62AA6A" w14:textId="77777777" w:rsidR="008C1A01" w:rsidRPr="008C1A01" w:rsidRDefault="008C1A01" w:rsidP="008C1A01">
      <w:pPr>
        <w:pStyle w:val="CETBodytext"/>
        <w:rPr>
          <w:lang w:val="en-GB"/>
        </w:rPr>
      </w:pPr>
      <w:r w:rsidRPr="008C1A01">
        <w:rPr>
          <w:lang w:val="en-GB"/>
        </w:rPr>
        <w:t>The odoriferous profile of WWTP emissions is typically associated with the presence of Volatile Sulphur Compounds (VSC), such as H</w:t>
      </w:r>
      <w:r w:rsidRPr="008C1A01">
        <w:rPr>
          <w:vertAlign w:val="subscript"/>
          <w:lang w:val="en-GB"/>
        </w:rPr>
        <w:t>2</w:t>
      </w:r>
      <w:r w:rsidRPr="008C1A01">
        <w:rPr>
          <w:lang w:val="en-GB"/>
        </w:rPr>
        <w:t>S, mercaptans and thioethers. There are different systems for continuous monitoring of odour in ambient air and / or emission (such as H</w:t>
      </w:r>
      <w:r w:rsidRPr="008C1A01">
        <w:rPr>
          <w:vertAlign w:val="subscript"/>
          <w:lang w:val="en-GB"/>
        </w:rPr>
        <w:t>2</w:t>
      </w:r>
      <w:r w:rsidRPr="008C1A01">
        <w:rPr>
          <w:lang w:val="en-GB"/>
        </w:rPr>
        <w:t>S detectors and electronic noses). These systems are typically based on low-cost sensors that do not allow the main odorants to be determined reliably at low enough levels such as those typically present in immission. As an alternative, it has been proposed to use the Vigi eNose</w:t>
      </w:r>
      <w:r w:rsidRPr="008C1A01">
        <w:rPr>
          <w:vertAlign w:val="superscript"/>
          <w:lang w:val="en-GB"/>
        </w:rPr>
        <w:t>®</w:t>
      </w:r>
      <w:r w:rsidRPr="008C1A01">
        <w:rPr>
          <w:lang w:val="en-GB"/>
        </w:rPr>
        <w:t xml:space="preserve"> system (Chromatotec, Fr.), which can be applied both in emission and immission situations. This equipment consists of a gas chromatograph with a selective S detector (capable of sequentially measuring up to 14 individual VSCs in different points with a wide dynamic range and with a Limit of Detection, LD, between 0.5 and 8 ppbv). This system is supplemented with a Photoionization Detector (PID) that provides values assimilable to total VOC concentrations.</w:t>
      </w:r>
    </w:p>
    <w:p w14:paraId="0A3090DC" w14:textId="77777777" w:rsidR="008C1A01" w:rsidRPr="008C1A01" w:rsidRDefault="008C1A01" w:rsidP="008C1A01">
      <w:pPr>
        <w:pStyle w:val="CETBodytext"/>
        <w:rPr>
          <w:lang w:val="en-GB"/>
        </w:rPr>
      </w:pPr>
      <w:r w:rsidRPr="008C1A01">
        <w:rPr>
          <w:lang w:val="en-GB"/>
        </w:rPr>
        <w:t>This system has been installed in the San Jerónimo WWTP (Seville, Spain), where 5 emission sources have been monitored, plus one immission point. The data generated by the Vigi eNose</w:t>
      </w:r>
      <w:r w:rsidRPr="008C1A01">
        <w:rPr>
          <w:vertAlign w:val="superscript"/>
          <w:lang w:val="en-GB"/>
        </w:rPr>
        <w:t>®</w:t>
      </w:r>
      <w:r w:rsidRPr="008C1A01">
        <w:rPr>
          <w:lang w:val="en-GB"/>
        </w:rPr>
        <w:t xml:space="preserve"> are modelled in near real time and in forecast mode on the Meteosim online platform (Meteosim Solution</w:t>
      </w:r>
      <w:r w:rsidRPr="008C1A01">
        <w:rPr>
          <w:vertAlign w:val="superscript"/>
          <w:lang w:val="en-GB"/>
        </w:rPr>
        <w:t>®</w:t>
      </w:r>
      <w:r w:rsidRPr="008C1A01">
        <w:rPr>
          <w:lang w:val="en-GB"/>
        </w:rPr>
        <w:t xml:space="preserve">) using CALPUFF. </w:t>
      </w:r>
    </w:p>
    <w:p w14:paraId="0087D9B8" w14:textId="0D762790" w:rsidR="008C1A01" w:rsidRDefault="008C1A01" w:rsidP="008C1A01">
      <w:pPr>
        <w:pStyle w:val="CETBodytext"/>
      </w:pPr>
      <w:r w:rsidRPr="008C1A01">
        <w:rPr>
          <w:lang w:val="en-GB"/>
        </w:rPr>
        <w:t>This paper presents data obtained over a month of monitoring, as well as the results of 3 sampling and analysis campaigns carried out in order to verify the applicability of the system. Monitoring data and campaign results showed a positive correlation between the different analytical techniques used.</w:t>
      </w:r>
    </w:p>
    <w:p w14:paraId="476B2F2E" w14:textId="77777777" w:rsidR="00600535" w:rsidRPr="00B57B36" w:rsidRDefault="00600535" w:rsidP="00600535">
      <w:pPr>
        <w:pStyle w:val="CETHeading1"/>
        <w:rPr>
          <w:lang w:val="en-GB"/>
        </w:rPr>
      </w:pPr>
      <w:r w:rsidRPr="00B57B36">
        <w:rPr>
          <w:lang w:val="en-GB"/>
        </w:rPr>
        <w:t>Introduction</w:t>
      </w:r>
    </w:p>
    <w:p w14:paraId="5F6234B1" w14:textId="77777777" w:rsidR="008C1A01" w:rsidRPr="008C1A01" w:rsidRDefault="008C1A01" w:rsidP="008C1A01">
      <w:pPr>
        <w:pStyle w:val="CETBodytext"/>
        <w:rPr>
          <w:lang w:val="en-GB"/>
        </w:rPr>
      </w:pPr>
      <w:r w:rsidRPr="008C1A01">
        <w:rPr>
          <w:lang w:val="en-GB"/>
        </w:rPr>
        <w:t>Emissions from wastewater treatment plants (WWTP) contain substances with different odoriferous significance (Anneli et al., 2006). The main families of substances are Volatile Sulphur Compounds (VSC) such as H</w:t>
      </w:r>
      <w:r w:rsidRPr="008C1A01">
        <w:rPr>
          <w:vertAlign w:val="subscript"/>
          <w:lang w:val="en-GB"/>
        </w:rPr>
        <w:t>2</w:t>
      </w:r>
      <w:r w:rsidRPr="008C1A01">
        <w:rPr>
          <w:lang w:val="en-GB"/>
        </w:rPr>
        <w:t>S, mercaptans, and thioethers, free fatty acids (FAV), such as butanoic acid, pentanoic acid, nitrogen compounds such as amines or indole derivatives and carbonyls (aldehydes and ketones).</w:t>
      </w:r>
    </w:p>
    <w:p w14:paraId="558C651B" w14:textId="77777777" w:rsidR="008C1A01" w:rsidRPr="008C1A01" w:rsidRDefault="008C1A01" w:rsidP="008C1A01">
      <w:pPr>
        <w:pStyle w:val="CETBodytext"/>
        <w:rPr>
          <w:lang w:val="en-GB"/>
        </w:rPr>
      </w:pPr>
      <w:r w:rsidRPr="008C1A01">
        <w:rPr>
          <w:lang w:val="en-GB"/>
        </w:rPr>
        <w:t>VSC compounds are the largest contributors to WWTP odour emissions due to their frequency, levels and low olfactory threshold (typically of few ppb or even at sub-ppb level) and of their Odour Activity Values (OAV) (Capelli et al., 2008). Therefore, they are the group of target compounds that are typically taken as a reference to characterise WWTP odorants and to assess odour impacts on immission. In some cases, VSC compounds can be used to set limits based on the concentrations of H</w:t>
      </w:r>
      <w:r w:rsidRPr="008C1A01">
        <w:rPr>
          <w:vertAlign w:val="subscript"/>
          <w:lang w:val="en-GB"/>
        </w:rPr>
        <w:t>2</w:t>
      </w:r>
      <w:r w:rsidRPr="008C1A01">
        <w:rPr>
          <w:lang w:val="en-GB"/>
        </w:rPr>
        <w:t>S, mercaptans or thioethers. However, the characteristics of the operations and processes carried out at the different parts of the plants, the diurnal and weekly cycles, the weather and the time of the year (Jeon et al, 2009) can significantly impact on the qualitative and quantitative composition of the VSC from the WWTP.</w:t>
      </w:r>
    </w:p>
    <w:p w14:paraId="060FB1DA" w14:textId="77777777" w:rsidR="008C1A01" w:rsidRPr="008C1A01" w:rsidRDefault="008C1A01" w:rsidP="008C1A01">
      <w:pPr>
        <w:pStyle w:val="CETBodytext"/>
        <w:rPr>
          <w:lang w:val="en-GB"/>
        </w:rPr>
      </w:pPr>
      <w:r w:rsidRPr="008C1A01">
        <w:rPr>
          <w:lang w:val="en-GB"/>
        </w:rPr>
        <w:t xml:space="preserve">The different procedures to characterise odour emissions and their impact present a series of limitations that do not allow their use in a single universal way (Muñoz et al., 2010; Bax et al. 2020; Hashisho et al., 2012) and require adjustments for low chemical concentrations in each case. Limited sensitivity is common among these methodologies. Low odour concentrations in ambient air cannot be measured by dynamic olfactometry, as the typical LOD limit of the technique is in the range of 15 ouE/m3. Moreover, low chemical concentration </w:t>
      </w:r>
      <w:r w:rsidRPr="008C1A01">
        <w:rPr>
          <w:lang w:val="en-GB"/>
        </w:rPr>
        <w:lastRenderedPageBreak/>
        <w:t>measurements cannot be achieved by single-analyte low-cost sensors, which usually have LODs for H</w:t>
      </w:r>
      <w:r w:rsidRPr="008C1A01">
        <w:rPr>
          <w:vertAlign w:val="subscript"/>
          <w:lang w:val="en-GB"/>
        </w:rPr>
        <w:t>2</w:t>
      </w:r>
      <w:r w:rsidRPr="008C1A01">
        <w:rPr>
          <w:lang w:val="en-GB"/>
        </w:rPr>
        <w:t>S measurement ≥10 ppbv, when H</w:t>
      </w:r>
      <w:r w:rsidRPr="008C1A01">
        <w:rPr>
          <w:vertAlign w:val="subscript"/>
          <w:lang w:val="en-GB"/>
        </w:rPr>
        <w:t>2</w:t>
      </w:r>
      <w:r w:rsidRPr="008C1A01">
        <w:rPr>
          <w:lang w:val="en-GB"/>
        </w:rPr>
        <w:t xml:space="preserve">S can already cause odour nuisances even at lower concentrations due to its low Odour Threshold (OT), which, according to E. Nagata (2003) and J.H. Ruth (1986), is lower than 15 </w:t>
      </w:r>
      <w:r w:rsidRPr="00C211BD">
        <w:rPr>
          <w:rFonts w:ascii="Symbol" w:hAnsi="Symbol"/>
          <w:lang w:val="en-GB"/>
        </w:rPr>
        <w:t></w:t>
      </w:r>
      <w:r w:rsidRPr="008C1A01">
        <w:rPr>
          <w:lang w:val="en-GB"/>
        </w:rPr>
        <w:t xml:space="preserve">g/m3. Other possible problems with these methods include: poor specificity, high uncertainties, complicated calibration procedures, significant influence of environmental conditions (such as humidity or temperature), … </w:t>
      </w:r>
    </w:p>
    <w:p w14:paraId="55E9752C" w14:textId="204133B9" w:rsidR="0060558A" w:rsidRPr="00C50243" w:rsidRDefault="008C1A01" w:rsidP="008C1A01">
      <w:pPr>
        <w:pStyle w:val="CETBodytext"/>
        <w:rPr>
          <w:lang w:val="en-GB"/>
        </w:rPr>
      </w:pPr>
      <w:r w:rsidRPr="008C1A01">
        <w:rPr>
          <w:lang w:val="en-GB"/>
        </w:rPr>
        <w:t>Table 1 presents the optimal characteristics that an analyser should have in order to be used in the continuous characterization of WWTP odoriferous emissions or, alternatively, for the determination of VSC-type odorants in ambient air at concentrations of the same order as their OTs or lower (J.P. Amiet et al, 2014). These characteristics are compared with those of a Vigi e-Nose® system, which meets all the defined requirements, and it should be noted that it also complies with those outlined in Van Harreveld, 2012 for sensors suitable for use in emission or immission.</w:t>
      </w:r>
    </w:p>
    <w:p w14:paraId="082B2872" w14:textId="2D5C6A07" w:rsidR="0060558A" w:rsidRPr="004421CF" w:rsidRDefault="0060558A" w:rsidP="0060558A">
      <w:pPr>
        <w:keepNext/>
        <w:spacing w:before="240" w:after="80" w:line="240" w:lineRule="exact"/>
        <w:rPr>
          <w:i/>
        </w:rPr>
      </w:pPr>
      <w:r w:rsidRPr="00C50243">
        <w:rPr>
          <w:i/>
        </w:rPr>
        <w:t>Table 1: Optimal characteristics required</w:t>
      </w:r>
      <w:r w:rsidRPr="004421CF">
        <w:rPr>
          <w:i/>
        </w:rPr>
        <w:t xml:space="preserve"> of an emission and immission analysis system of the most significant odour pollutants from WWTP vs characteristics of the Vigi e-Nose</w:t>
      </w:r>
      <w:r w:rsidR="005B0141" w:rsidRPr="001E3155">
        <w:t>®</w:t>
      </w:r>
      <w:r w:rsidRPr="004421CF">
        <w:rPr>
          <w:i/>
        </w:rPr>
        <w:t xml:space="preserve"> system </w:t>
      </w:r>
    </w:p>
    <w:tbl>
      <w:tblPr>
        <w:tblW w:w="5000" w:type="pct"/>
        <w:tblBorders>
          <w:top w:val="single" w:sz="12" w:space="0" w:color="008000"/>
          <w:bottom w:val="single" w:sz="12" w:space="0" w:color="008000"/>
        </w:tblBorders>
        <w:shd w:val="clear" w:color="auto" w:fill="FFFFFF"/>
        <w:tblCellMar>
          <w:left w:w="28" w:type="dxa"/>
          <w:right w:w="28" w:type="dxa"/>
        </w:tblCellMar>
        <w:tblLook w:val="00A0" w:firstRow="1" w:lastRow="0" w:firstColumn="1" w:lastColumn="0" w:noHBand="0" w:noVBand="0"/>
      </w:tblPr>
      <w:tblGrid>
        <w:gridCol w:w="4536"/>
        <w:gridCol w:w="4251"/>
      </w:tblGrid>
      <w:tr w:rsidR="0060558A" w:rsidRPr="004421CF" w14:paraId="14A7BD93" w14:textId="77777777" w:rsidTr="006036AC">
        <w:tc>
          <w:tcPr>
            <w:tcW w:w="2581" w:type="pct"/>
            <w:tcBorders>
              <w:top w:val="single" w:sz="12" w:space="0" w:color="008000"/>
              <w:bottom w:val="single" w:sz="6" w:space="0" w:color="008000"/>
            </w:tcBorders>
            <w:shd w:val="clear" w:color="auto" w:fill="FFFFFF"/>
            <w:vAlign w:val="center"/>
          </w:tcPr>
          <w:p w14:paraId="7ABB4E6A" w14:textId="77777777" w:rsidR="0060558A" w:rsidRPr="00B274E7" w:rsidRDefault="0060558A" w:rsidP="006036AC">
            <w:pPr>
              <w:pStyle w:val="CETBodytext"/>
              <w:jc w:val="left"/>
              <w:rPr>
                <w:lang w:val="en-GB"/>
              </w:rPr>
            </w:pPr>
            <w:r w:rsidRPr="00B274E7">
              <w:rPr>
                <w:lang w:val="en-GB"/>
              </w:rPr>
              <w:t>Optimal characteristics required for odour analysers in WWTPs</w:t>
            </w:r>
          </w:p>
        </w:tc>
        <w:tc>
          <w:tcPr>
            <w:tcW w:w="2419" w:type="pct"/>
            <w:tcBorders>
              <w:top w:val="single" w:sz="12" w:space="0" w:color="008000"/>
              <w:bottom w:val="single" w:sz="6" w:space="0" w:color="008000"/>
            </w:tcBorders>
            <w:shd w:val="clear" w:color="auto" w:fill="FFFFFF"/>
          </w:tcPr>
          <w:p w14:paraId="7EBC30C4" w14:textId="4D5C4D2F" w:rsidR="0060558A" w:rsidRPr="00B274E7" w:rsidRDefault="0060558A" w:rsidP="006036AC">
            <w:pPr>
              <w:pStyle w:val="CETBodytext"/>
              <w:jc w:val="left"/>
              <w:rPr>
                <w:lang w:val="en-GB"/>
              </w:rPr>
            </w:pPr>
            <w:r w:rsidRPr="00B274E7">
              <w:rPr>
                <w:lang w:val="en-GB"/>
              </w:rPr>
              <w:t>Characteristics of the Vigi e-Nose</w:t>
            </w:r>
            <w:r w:rsidR="005B0141" w:rsidRPr="001E3155">
              <w:rPr>
                <w:lang w:val="en-GB"/>
              </w:rPr>
              <w:t>®</w:t>
            </w:r>
            <w:r w:rsidRPr="00B274E7">
              <w:rPr>
                <w:lang w:val="en-GB"/>
              </w:rPr>
              <w:t xml:space="preserve"> system</w:t>
            </w:r>
          </w:p>
        </w:tc>
      </w:tr>
      <w:tr w:rsidR="0060558A" w:rsidRPr="004421CF" w14:paraId="07896245" w14:textId="77777777" w:rsidTr="006036AC">
        <w:tc>
          <w:tcPr>
            <w:tcW w:w="2581" w:type="pct"/>
            <w:tcBorders>
              <w:top w:val="single" w:sz="6" w:space="0" w:color="008000"/>
              <w:bottom w:val="single" w:sz="4" w:space="0" w:color="008000"/>
            </w:tcBorders>
            <w:shd w:val="clear" w:color="auto" w:fill="auto"/>
            <w:vAlign w:val="center"/>
          </w:tcPr>
          <w:p w14:paraId="02207950" w14:textId="77777777" w:rsidR="0060558A" w:rsidRPr="00B274E7" w:rsidRDefault="0060558A" w:rsidP="006036AC">
            <w:pPr>
              <w:pStyle w:val="CETBodytext"/>
              <w:jc w:val="left"/>
            </w:pPr>
            <w:r w:rsidRPr="00B274E7">
              <w:t>Ability to determine the most significant odorants</w:t>
            </w:r>
          </w:p>
        </w:tc>
        <w:tc>
          <w:tcPr>
            <w:tcW w:w="2419" w:type="pct"/>
            <w:tcBorders>
              <w:top w:val="single" w:sz="6" w:space="0" w:color="008000"/>
              <w:bottom w:val="single" w:sz="4" w:space="0" w:color="008000"/>
            </w:tcBorders>
            <w:shd w:val="clear" w:color="auto" w:fill="auto"/>
            <w:vAlign w:val="center"/>
          </w:tcPr>
          <w:p w14:paraId="32DA9B6D" w14:textId="77777777" w:rsidR="0060558A" w:rsidRPr="00B274E7" w:rsidRDefault="0060558A" w:rsidP="006036AC">
            <w:pPr>
              <w:pStyle w:val="CETBodytext"/>
              <w:jc w:val="left"/>
            </w:pPr>
            <w:r w:rsidRPr="00B274E7">
              <w:t>Adaptable amount of VSC (up to 15 compounds/20min)</w:t>
            </w:r>
          </w:p>
        </w:tc>
      </w:tr>
      <w:tr w:rsidR="0060558A" w:rsidRPr="004421CF" w14:paraId="434F63FB" w14:textId="77777777" w:rsidTr="006036AC">
        <w:tc>
          <w:tcPr>
            <w:tcW w:w="2581" w:type="pct"/>
            <w:tcBorders>
              <w:top w:val="single" w:sz="4" w:space="0" w:color="008000"/>
              <w:bottom w:val="single" w:sz="4" w:space="0" w:color="008000"/>
            </w:tcBorders>
            <w:shd w:val="clear" w:color="auto" w:fill="auto"/>
            <w:vAlign w:val="center"/>
          </w:tcPr>
          <w:p w14:paraId="3C8BA7FD" w14:textId="77777777" w:rsidR="0060558A" w:rsidRPr="00B274E7" w:rsidRDefault="0060558A" w:rsidP="006036AC">
            <w:pPr>
              <w:pStyle w:val="CETBodytext"/>
              <w:jc w:val="left"/>
            </w:pPr>
            <w:r w:rsidRPr="00B274E7">
              <w:t>Possibility of sample pre-conditioning of in order to eliminate the influence of T and humidity on the results</w:t>
            </w:r>
          </w:p>
        </w:tc>
        <w:tc>
          <w:tcPr>
            <w:tcW w:w="2419" w:type="pct"/>
            <w:tcBorders>
              <w:top w:val="single" w:sz="4" w:space="0" w:color="008000"/>
              <w:bottom w:val="single" w:sz="4" w:space="0" w:color="008000"/>
            </w:tcBorders>
            <w:shd w:val="clear" w:color="auto" w:fill="auto"/>
            <w:vAlign w:val="center"/>
          </w:tcPr>
          <w:p w14:paraId="54B87438" w14:textId="77777777" w:rsidR="0060558A" w:rsidRPr="00B274E7" w:rsidRDefault="0060558A" w:rsidP="006036AC">
            <w:pPr>
              <w:pStyle w:val="CETBodytext"/>
              <w:jc w:val="left"/>
            </w:pPr>
            <w:r w:rsidRPr="00B274E7">
              <w:t>Yes</w:t>
            </w:r>
          </w:p>
        </w:tc>
      </w:tr>
      <w:tr w:rsidR="0060558A" w:rsidRPr="004421CF" w14:paraId="1B536363" w14:textId="77777777" w:rsidTr="006036AC">
        <w:tc>
          <w:tcPr>
            <w:tcW w:w="2581" w:type="pct"/>
            <w:tcBorders>
              <w:top w:val="single" w:sz="4" w:space="0" w:color="008000"/>
              <w:bottom w:val="single" w:sz="4" w:space="0" w:color="008000"/>
            </w:tcBorders>
            <w:shd w:val="clear" w:color="auto" w:fill="auto"/>
            <w:vAlign w:val="center"/>
          </w:tcPr>
          <w:p w14:paraId="57BB73A4" w14:textId="77777777" w:rsidR="0060558A" w:rsidRPr="00B274E7" w:rsidRDefault="0060558A" w:rsidP="006036AC">
            <w:pPr>
              <w:pStyle w:val="CETBodytext"/>
              <w:jc w:val="left"/>
            </w:pPr>
            <w:r w:rsidRPr="00B274E7">
              <w:t>"On-line" measurement (in continuous or semi-continuous mode)</w:t>
            </w:r>
          </w:p>
        </w:tc>
        <w:tc>
          <w:tcPr>
            <w:tcW w:w="2419" w:type="pct"/>
            <w:tcBorders>
              <w:top w:val="single" w:sz="4" w:space="0" w:color="008000"/>
              <w:bottom w:val="single" w:sz="4" w:space="0" w:color="008000"/>
            </w:tcBorders>
            <w:shd w:val="clear" w:color="auto" w:fill="auto"/>
            <w:vAlign w:val="center"/>
          </w:tcPr>
          <w:p w14:paraId="4D504427" w14:textId="77777777" w:rsidR="0060558A" w:rsidRPr="00B274E7" w:rsidRDefault="0060558A" w:rsidP="006036AC">
            <w:pPr>
              <w:pStyle w:val="CETBodytext"/>
              <w:jc w:val="left"/>
            </w:pPr>
            <w:r w:rsidRPr="00B274E7">
              <w:t>Yes. Analysis time:</w:t>
            </w:r>
            <w:r>
              <w:t xml:space="preserve"> </w:t>
            </w:r>
            <w:r w:rsidRPr="00B274E7">
              <w:t xml:space="preserve">10 min for 8 VSC//20 min for up to 14 VSCs </w:t>
            </w:r>
          </w:p>
        </w:tc>
      </w:tr>
      <w:tr w:rsidR="0060558A" w:rsidRPr="004421CF" w14:paraId="3EB6D28B" w14:textId="77777777" w:rsidTr="006036AC">
        <w:tc>
          <w:tcPr>
            <w:tcW w:w="2581" w:type="pct"/>
            <w:tcBorders>
              <w:top w:val="single" w:sz="4" w:space="0" w:color="008000"/>
              <w:bottom w:val="single" w:sz="4" w:space="0" w:color="008000"/>
            </w:tcBorders>
            <w:shd w:val="clear" w:color="auto" w:fill="auto"/>
            <w:vAlign w:val="center"/>
          </w:tcPr>
          <w:p w14:paraId="691890EC" w14:textId="77777777" w:rsidR="0060558A" w:rsidRPr="00B274E7" w:rsidRDefault="0060558A" w:rsidP="006036AC">
            <w:pPr>
              <w:pStyle w:val="CETBodytext"/>
              <w:jc w:val="left"/>
            </w:pPr>
            <w:r w:rsidRPr="00B274E7">
              <w:t>Ability to manage analytical data and its transmission</w:t>
            </w:r>
          </w:p>
        </w:tc>
        <w:tc>
          <w:tcPr>
            <w:tcW w:w="2419" w:type="pct"/>
            <w:tcBorders>
              <w:top w:val="single" w:sz="4" w:space="0" w:color="008000"/>
              <w:bottom w:val="single" w:sz="4" w:space="0" w:color="008000"/>
            </w:tcBorders>
            <w:shd w:val="clear" w:color="auto" w:fill="auto"/>
            <w:vAlign w:val="center"/>
          </w:tcPr>
          <w:p w14:paraId="6E7CA445" w14:textId="77777777" w:rsidR="0060558A" w:rsidRPr="00B274E7" w:rsidRDefault="0060558A" w:rsidP="006036AC">
            <w:pPr>
              <w:pStyle w:val="CETBodytext"/>
              <w:jc w:val="left"/>
            </w:pPr>
            <w:r w:rsidRPr="00B274E7">
              <w:t>Yes</w:t>
            </w:r>
          </w:p>
        </w:tc>
      </w:tr>
      <w:tr w:rsidR="0060558A" w:rsidRPr="004421CF" w14:paraId="4B53C2ED" w14:textId="77777777" w:rsidTr="006036AC">
        <w:tc>
          <w:tcPr>
            <w:tcW w:w="2581" w:type="pct"/>
            <w:tcBorders>
              <w:top w:val="single" w:sz="4" w:space="0" w:color="008000"/>
              <w:bottom w:val="single" w:sz="4" w:space="0" w:color="008000"/>
            </w:tcBorders>
            <w:shd w:val="clear" w:color="auto" w:fill="auto"/>
            <w:vAlign w:val="center"/>
          </w:tcPr>
          <w:p w14:paraId="06B7F27F" w14:textId="77777777" w:rsidR="0060558A" w:rsidRPr="00B274E7" w:rsidRDefault="0060558A" w:rsidP="006036AC">
            <w:pPr>
              <w:pStyle w:val="CETBodytext"/>
              <w:jc w:val="left"/>
            </w:pPr>
            <w:r w:rsidRPr="00B274E7">
              <w:t>Analytical specificity</w:t>
            </w:r>
          </w:p>
        </w:tc>
        <w:tc>
          <w:tcPr>
            <w:tcW w:w="2419" w:type="pct"/>
            <w:tcBorders>
              <w:top w:val="single" w:sz="4" w:space="0" w:color="008000"/>
              <w:bottom w:val="single" w:sz="4" w:space="0" w:color="008000"/>
            </w:tcBorders>
            <w:shd w:val="clear" w:color="auto" w:fill="auto"/>
            <w:vAlign w:val="center"/>
          </w:tcPr>
          <w:p w14:paraId="59DE9700" w14:textId="77777777" w:rsidR="0060558A" w:rsidRPr="00B274E7" w:rsidRDefault="0060558A" w:rsidP="006036AC">
            <w:pPr>
              <w:pStyle w:val="CETBodytext"/>
              <w:jc w:val="left"/>
            </w:pPr>
            <w:r w:rsidRPr="00B274E7">
              <w:t>Combining the HRGC with specific VSC and PID detectors. NH</w:t>
            </w:r>
            <w:r w:rsidRPr="00B274E7">
              <w:rPr>
                <w:vertAlign w:val="subscript"/>
              </w:rPr>
              <w:t>3</w:t>
            </w:r>
            <w:r>
              <w:t xml:space="preserve"> </w:t>
            </w:r>
            <w:r w:rsidRPr="00B274E7">
              <w:t>or FID detectors can also be included.</w:t>
            </w:r>
          </w:p>
        </w:tc>
      </w:tr>
      <w:tr w:rsidR="0060558A" w:rsidRPr="004421CF" w14:paraId="4157A1EB" w14:textId="77777777" w:rsidTr="006036AC">
        <w:tc>
          <w:tcPr>
            <w:tcW w:w="2581" w:type="pct"/>
            <w:tcBorders>
              <w:top w:val="single" w:sz="4" w:space="0" w:color="008000"/>
              <w:bottom w:val="single" w:sz="4" w:space="0" w:color="008000"/>
            </w:tcBorders>
            <w:shd w:val="clear" w:color="auto" w:fill="auto"/>
            <w:vAlign w:val="center"/>
          </w:tcPr>
          <w:p w14:paraId="6769D576" w14:textId="77777777" w:rsidR="0060558A" w:rsidRPr="00B274E7" w:rsidRDefault="0060558A" w:rsidP="006036AC">
            <w:pPr>
              <w:pStyle w:val="CETBodytext"/>
              <w:jc w:val="left"/>
            </w:pPr>
            <w:r w:rsidRPr="00B274E7">
              <w:t>Select target VSC group according to each case</w:t>
            </w:r>
          </w:p>
        </w:tc>
        <w:tc>
          <w:tcPr>
            <w:tcW w:w="2419" w:type="pct"/>
            <w:tcBorders>
              <w:top w:val="single" w:sz="4" w:space="0" w:color="008000"/>
              <w:bottom w:val="single" w:sz="4" w:space="0" w:color="008000"/>
            </w:tcBorders>
            <w:shd w:val="clear" w:color="auto" w:fill="auto"/>
            <w:vAlign w:val="center"/>
          </w:tcPr>
          <w:p w14:paraId="622F0820" w14:textId="77777777" w:rsidR="0060558A" w:rsidRPr="00B274E7" w:rsidRDefault="0060558A" w:rsidP="006036AC">
            <w:pPr>
              <w:pStyle w:val="CETBodytext"/>
              <w:jc w:val="left"/>
            </w:pPr>
            <w:r w:rsidRPr="00B274E7">
              <w:t>Yes</w:t>
            </w:r>
          </w:p>
        </w:tc>
      </w:tr>
      <w:tr w:rsidR="0060558A" w:rsidRPr="004421CF" w14:paraId="34DE7E48" w14:textId="77777777" w:rsidTr="006036AC">
        <w:tc>
          <w:tcPr>
            <w:tcW w:w="2581" w:type="pct"/>
            <w:tcBorders>
              <w:top w:val="single" w:sz="4" w:space="0" w:color="008000"/>
              <w:bottom w:val="single" w:sz="4" w:space="0" w:color="008000"/>
            </w:tcBorders>
            <w:shd w:val="clear" w:color="auto" w:fill="auto"/>
            <w:vAlign w:val="center"/>
          </w:tcPr>
          <w:p w14:paraId="59EB9C98" w14:textId="77777777" w:rsidR="0060558A" w:rsidRPr="00B274E7" w:rsidRDefault="0060558A" w:rsidP="006036AC">
            <w:pPr>
              <w:pStyle w:val="CETBodytext"/>
              <w:jc w:val="left"/>
            </w:pPr>
            <w:r w:rsidRPr="00B274E7">
              <w:t>Sufficient sensitivity according to the concentration ranges close to the OT</w:t>
            </w:r>
          </w:p>
        </w:tc>
        <w:tc>
          <w:tcPr>
            <w:tcW w:w="2419" w:type="pct"/>
            <w:tcBorders>
              <w:top w:val="single" w:sz="4" w:space="0" w:color="008000"/>
              <w:bottom w:val="single" w:sz="4" w:space="0" w:color="008000"/>
            </w:tcBorders>
            <w:shd w:val="clear" w:color="auto" w:fill="auto"/>
            <w:vAlign w:val="center"/>
          </w:tcPr>
          <w:p w14:paraId="3EE36675" w14:textId="37789942" w:rsidR="0060558A" w:rsidRPr="00B274E7" w:rsidRDefault="0060558A" w:rsidP="006036AC">
            <w:pPr>
              <w:pStyle w:val="CETBodytext"/>
              <w:jc w:val="left"/>
            </w:pPr>
            <w:r w:rsidRPr="00B274E7">
              <w:t>LDL: 0</w:t>
            </w:r>
            <w:r>
              <w:t>.</w:t>
            </w:r>
            <w:r w:rsidRPr="00B274E7">
              <w:t>25-8 ppb. If (optionally) coupled with Thermal Desorption, limits can be reduced to 0,1</w:t>
            </w:r>
            <w:r w:rsidR="00066427">
              <w:t xml:space="preserve"> </w:t>
            </w:r>
            <w:r w:rsidRPr="00B274E7">
              <w:t>ppb</w:t>
            </w:r>
          </w:p>
        </w:tc>
      </w:tr>
      <w:tr w:rsidR="0060558A" w:rsidRPr="004421CF" w14:paraId="44447309" w14:textId="77777777" w:rsidTr="006036AC">
        <w:tc>
          <w:tcPr>
            <w:tcW w:w="2581" w:type="pct"/>
            <w:tcBorders>
              <w:top w:val="single" w:sz="4" w:space="0" w:color="008000"/>
              <w:bottom w:val="single" w:sz="4" w:space="0" w:color="008000"/>
            </w:tcBorders>
            <w:shd w:val="clear" w:color="auto" w:fill="auto"/>
            <w:vAlign w:val="center"/>
          </w:tcPr>
          <w:p w14:paraId="569F5996" w14:textId="77777777" w:rsidR="0060558A" w:rsidRPr="00B274E7" w:rsidRDefault="0060558A" w:rsidP="006036AC">
            <w:pPr>
              <w:pStyle w:val="CETBodytext"/>
              <w:jc w:val="left"/>
            </w:pPr>
            <w:r w:rsidRPr="00B274E7">
              <w:t>Sufficiently wide dynamic range (emission and immission)</w:t>
            </w:r>
          </w:p>
        </w:tc>
        <w:tc>
          <w:tcPr>
            <w:tcW w:w="2419" w:type="pct"/>
            <w:tcBorders>
              <w:top w:val="single" w:sz="4" w:space="0" w:color="008000"/>
              <w:bottom w:val="single" w:sz="4" w:space="0" w:color="008000"/>
            </w:tcBorders>
            <w:shd w:val="clear" w:color="auto" w:fill="auto"/>
            <w:vAlign w:val="center"/>
          </w:tcPr>
          <w:p w14:paraId="3A3CA9A2" w14:textId="77777777" w:rsidR="0060558A" w:rsidRPr="00B274E7" w:rsidRDefault="0060558A" w:rsidP="006036AC">
            <w:pPr>
              <w:pStyle w:val="CETBodytext"/>
              <w:jc w:val="left"/>
            </w:pPr>
            <w:r w:rsidRPr="00B274E7">
              <w:t>Dynamic range: 0</w:t>
            </w:r>
            <w:r>
              <w:t>.</w:t>
            </w:r>
            <w:r w:rsidRPr="00B274E7">
              <w:t>25</w:t>
            </w:r>
            <w:r>
              <w:t xml:space="preserve"> </w:t>
            </w:r>
            <w:r w:rsidRPr="00B274E7">
              <w:t>ppb-10</w:t>
            </w:r>
            <w:r>
              <w:t>,</w:t>
            </w:r>
            <w:r w:rsidRPr="00B274E7">
              <w:t>000</w:t>
            </w:r>
            <w:r>
              <w:t xml:space="preserve"> </w:t>
            </w:r>
            <w:r w:rsidRPr="00B274E7">
              <w:t>ppb</w:t>
            </w:r>
          </w:p>
        </w:tc>
      </w:tr>
      <w:tr w:rsidR="0060558A" w:rsidRPr="004421CF" w14:paraId="7B9F1D91" w14:textId="77777777" w:rsidTr="006036AC">
        <w:tc>
          <w:tcPr>
            <w:tcW w:w="2581" w:type="pct"/>
            <w:tcBorders>
              <w:top w:val="single" w:sz="4" w:space="0" w:color="008000"/>
              <w:bottom w:val="single" w:sz="4" w:space="0" w:color="008000"/>
            </w:tcBorders>
            <w:shd w:val="clear" w:color="auto" w:fill="auto"/>
            <w:vAlign w:val="center"/>
          </w:tcPr>
          <w:p w14:paraId="10FDE92E" w14:textId="77777777" w:rsidR="0060558A" w:rsidRPr="00B274E7" w:rsidRDefault="0060558A" w:rsidP="006036AC">
            <w:pPr>
              <w:pStyle w:val="CETBodytext"/>
              <w:jc w:val="left"/>
            </w:pPr>
            <w:r w:rsidRPr="00B274E7">
              <w:t xml:space="preserve">Possibility for the same device to measure VSCs in emission and / or immission </w:t>
            </w:r>
          </w:p>
        </w:tc>
        <w:tc>
          <w:tcPr>
            <w:tcW w:w="2419" w:type="pct"/>
            <w:tcBorders>
              <w:top w:val="single" w:sz="4" w:space="0" w:color="008000"/>
              <w:bottom w:val="single" w:sz="4" w:space="0" w:color="008000"/>
            </w:tcBorders>
            <w:shd w:val="clear" w:color="auto" w:fill="auto"/>
            <w:vAlign w:val="center"/>
          </w:tcPr>
          <w:p w14:paraId="77E73311" w14:textId="77777777" w:rsidR="0060558A" w:rsidRPr="00B274E7" w:rsidRDefault="0060558A" w:rsidP="006036AC">
            <w:pPr>
              <w:pStyle w:val="CETBodytext"/>
              <w:jc w:val="left"/>
            </w:pPr>
            <w:r w:rsidRPr="00B274E7">
              <w:t>Yes</w:t>
            </w:r>
          </w:p>
        </w:tc>
      </w:tr>
      <w:tr w:rsidR="0060558A" w:rsidRPr="004421CF" w14:paraId="39A44C2B" w14:textId="77777777" w:rsidTr="006036AC">
        <w:tc>
          <w:tcPr>
            <w:tcW w:w="2581" w:type="pct"/>
            <w:tcBorders>
              <w:top w:val="single" w:sz="4" w:space="0" w:color="008000"/>
              <w:bottom w:val="single" w:sz="4" w:space="0" w:color="008000"/>
            </w:tcBorders>
            <w:shd w:val="clear" w:color="auto" w:fill="auto"/>
            <w:vAlign w:val="center"/>
          </w:tcPr>
          <w:p w14:paraId="223E3066" w14:textId="77777777" w:rsidR="0060558A" w:rsidRPr="00B274E7" w:rsidRDefault="0060558A" w:rsidP="006036AC">
            <w:pPr>
              <w:pStyle w:val="CETBodytext"/>
              <w:jc w:val="left"/>
            </w:pPr>
            <w:r w:rsidRPr="00B274E7">
              <w:t>Stability of response</w:t>
            </w:r>
          </w:p>
        </w:tc>
        <w:tc>
          <w:tcPr>
            <w:tcW w:w="2419" w:type="pct"/>
            <w:tcBorders>
              <w:top w:val="single" w:sz="4" w:space="0" w:color="008000"/>
              <w:bottom w:val="single" w:sz="4" w:space="0" w:color="008000"/>
            </w:tcBorders>
            <w:shd w:val="clear" w:color="auto" w:fill="auto"/>
            <w:vAlign w:val="center"/>
          </w:tcPr>
          <w:p w14:paraId="46D3821C" w14:textId="77777777" w:rsidR="0060558A" w:rsidRPr="00B274E7" w:rsidRDefault="0060558A" w:rsidP="006036AC">
            <w:pPr>
              <w:pStyle w:val="CETBodytext"/>
              <w:jc w:val="left"/>
            </w:pPr>
            <w:r w:rsidRPr="00B274E7">
              <w:t>RSD &lt; 3</w:t>
            </w:r>
            <w:r>
              <w:t xml:space="preserve"> </w:t>
            </w:r>
            <w:r w:rsidRPr="00B274E7">
              <w:t>% on concentration over 48 h</w:t>
            </w:r>
          </w:p>
          <w:p w14:paraId="3B3349D5" w14:textId="77777777" w:rsidR="0060558A" w:rsidRPr="00B274E7" w:rsidRDefault="0060558A" w:rsidP="006036AC">
            <w:pPr>
              <w:pStyle w:val="CETBodytext"/>
              <w:jc w:val="left"/>
            </w:pPr>
            <w:r w:rsidRPr="00B274E7">
              <w:t>RSD &lt; 0</w:t>
            </w:r>
            <w:r>
              <w:t>.</w:t>
            </w:r>
            <w:r w:rsidRPr="00B274E7">
              <w:t>5 % on retention time over 48 h</w:t>
            </w:r>
          </w:p>
        </w:tc>
      </w:tr>
      <w:tr w:rsidR="0060558A" w:rsidRPr="004421CF" w14:paraId="7246940A" w14:textId="77777777" w:rsidTr="006036AC">
        <w:tc>
          <w:tcPr>
            <w:tcW w:w="2581" w:type="pct"/>
            <w:tcBorders>
              <w:top w:val="single" w:sz="4" w:space="0" w:color="008000"/>
              <w:bottom w:val="single" w:sz="4" w:space="0" w:color="008000"/>
            </w:tcBorders>
            <w:shd w:val="clear" w:color="auto" w:fill="auto"/>
            <w:vAlign w:val="center"/>
          </w:tcPr>
          <w:p w14:paraId="6F0AD4A7" w14:textId="77777777" w:rsidR="0060558A" w:rsidRPr="00B274E7" w:rsidRDefault="0060558A" w:rsidP="006036AC">
            <w:pPr>
              <w:pStyle w:val="CETBodytext"/>
              <w:jc w:val="left"/>
            </w:pPr>
            <w:r w:rsidRPr="00B274E7">
              <w:t xml:space="preserve">Operational and response robustness </w:t>
            </w:r>
          </w:p>
        </w:tc>
        <w:tc>
          <w:tcPr>
            <w:tcW w:w="2419" w:type="pct"/>
            <w:tcBorders>
              <w:top w:val="single" w:sz="4" w:space="0" w:color="008000"/>
              <w:bottom w:val="single" w:sz="4" w:space="0" w:color="008000"/>
            </w:tcBorders>
            <w:shd w:val="clear" w:color="auto" w:fill="auto"/>
            <w:vAlign w:val="center"/>
          </w:tcPr>
          <w:p w14:paraId="0D8CEC01" w14:textId="77777777" w:rsidR="0060558A" w:rsidRPr="00B274E7" w:rsidRDefault="0060558A" w:rsidP="006036AC">
            <w:pPr>
              <w:pStyle w:val="CETBodytext"/>
              <w:jc w:val="left"/>
            </w:pPr>
            <w:r w:rsidRPr="00B274E7">
              <w:t>Yes. This is a process analy</w:t>
            </w:r>
            <w:r>
              <w:t>z</w:t>
            </w:r>
            <w:r w:rsidRPr="00B274E7">
              <w:t>er</w:t>
            </w:r>
          </w:p>
        </w:tc>
      </w:tr>
      <w:tr w:rsidR="0060558A" w:rsidRPr="004421CF" w14:paraId="7BB15BAC" w14:textId="77777777" w:rsidTr="006036AC">
        <w:tc>
          <w:tcPr>
            <w:tcW w:w="2581" w:type="pct"/>
            <w:tcBorders>
              <w:top w:val="single" w:sz="4" w:space="0" w:color="008000"/>
              <w:bottom w:val="single" w:sz="4" w:space="0" w:color="008000"/>
            </w:tcBorders>
            <w:shd w:val="clear" w:color="auto" w:fill="auto"/>
            <w:vAlign w:val="center"/>
          </w:tcPr>
          <w:p w14:paraId="18AA2DE2" w14:textId="77777777" w:rsidR="0060558A" w:rsidRPr="00B274E7" w:rsidRDefault="0060558A" w:rsidP="006036AC">
            <w:pPr>
              <w:pStyle w:val="CETBodytext"/>
              <w:jc w:val="left"/>
            </w:pPr>
            <w:r w:rsidRPr="00B274E7">
              <w:t>Self-sufficiency regarding the use of consumables</w:t>
            </w:r>
          </w:p>
        </w:tc>
        <w:tc>
          <w:tcPr>
            <w:tcW w:w="2419" w:type="pct"/>
            <w:tcBorders>
              <w:top w:val="single" w:sz="4" w:space="0" w:color="008000"/>
              <w:bottom w:val="single" w:sz="4" w:space="0" w:color="008000"/>
            </w:tcBorders>
            <w:shd w:val="clear" w:color="auto" w:fill="auto"/>
            <w:vAlign w:val="center"/>
          </w:tcPr>
          <w:p w14:paraId="53AF0075" w14:textId="77777777" w:rsidR="0060558A" w:rsidRPr="00B274E7" w:rsidRDefault="0060558A" w:rsidP="006036AC">
            <w:pPr>
              <w:pStyle w:val="CETBodytext"/>
              <w:jc w:val="left"/>
            </w:pPr>
            <w:r w:rsidRPr="00B274E7">
              <w:t>Own carrier gas generator and automatic calibration system and permeation tubes standards. No H</w:t>
            </w:r>
            <w:r w:rsidRPr="00C929CB">
              <w:rPr>
                <w:vertAlign w:val="subscript"/>
              </w:rPr>
              <w:t>2</w:t>
            </w:r>
            <w:r w:rsidRPr="00B274E7">
              <w:t xml:space="preserve"> is used </w:t>
            </w:r>
          </w:p>
        </w:tc>
      </w:tr>
      <w:tr w:rsidR="0060558A" w:rsidRPr="004421CF" w14:paraId="5E7BE524" w14:textId="77777777" w:rsidTr="006036AC">
        <w:tc>
          <w:tcPr>
            <w:tcW w:w="2581" w:type="pct"/>
            <w:tcBorders>
              <w:top w:val="single" w:sz="4" w:space="0" w:color="008000"/>
              <w:bottom w:val="single" w:sz="4" w:space="0" w:color="008000"/>
            </w:tcBorders>
            <w:shd w:val="clear" w:color="auto" w:fill="auto"/>
            <w:vAlign w:val="center"/>
          </w:tcPr>
          <w:p w14:paraId="5E16C726" w14:textId="77777777" w:rsidR="0060558A" w:rsidRPr="00B274E7" w:rsidRDefault="0060558A" w:rsidP="006036AC">
            <w:pPr>
              <w:pStyle w:val="CETBodytext"/>
              <w:jc w:val="left"/>
            </w:pPr>
            <w:r w:rsidRPr="00B274E7">
              <w:t>Possibility of sequential analysis of samples from multiple (nearby) sources</w:t>
            </w:r>
          </w:p>
        </w:tc>
        <w:tc>
          <w:tcPr>
            <w:tcW w:w="2419" w:type="pct"/>
            <w:tcBorders>
              <w:top w:val="single" w:sz="4" w:space="0" w:color="008000"/>
              <w:bottom w:val="single" w:sz="4" w:space="0" w:color="008000"/>
            </w:tcBorders>
            <w:shd w:val="clear" w:color="auto" w:fill="auto"/>
            <w:vAlign w:val="center"/>
          </w:tcPr>
          <w:p w14:paraId="2AE2EBC6" w14:textId="77777777" w:rsidR="0060558A" w:rsidRPr="00B274E7" w:rsidRDefault="0060558A" w:rsidP="006036AC">
            <w:pPr>
              <w:pStyle w:val="CETBodytext"/>
              <w:jc w:val="left"/>
            </w:pPr>
            <w:r w:rsidRPr="00B274E7">
              <w:t>Yes, up to 6 sources analy</w:t>
            </w:r>
            <w:r>
              <w:t>z</w:t>
            </w:r>
            <w:r w:rsidRPr="00B274E7">
              <w:t>ed sequentially, combining emission and immission, if necessary</w:t>
            </w:r>
          </w:p>
        </w:tc>
      </w:tr>
      <w:tr w:rsidR="0060558A" w:rsidRPr="004421CF" w14:paraId="542F2C76" w14:textId="77777777" w:rsidTr="006036AC">
        <w:tc>
          <w:tcPr>
            <w:tcW w:w="2581" w:type="pct"/>
            <w:tcBorders>
              <w:top w:val="single" w:sz="4" w:space="0" w:color="008000"/>
              <w:bottom w:val="single" w:sz="4" w:space="0" w:color="008000"/>
            </w:tcBorders>
            <w:shd w:val="clear" w:color="auto" w:fill="auto"/>
            <w:vAlign w:val="center"/>
          </w:tcPr>
          <w:p w14:paraId="52128A97" w14:textId="77777777" w:rsidR="0060558A" w:rsidRPr="00B274E7" w:rsidRDefault="0060558A" w:rsidP="006036AC">
            <w:pPr>
              <w:pStyle w:val="CETBodytext"/>
              <w:jc w:val="left"/>
            </w:pPr>
            <w:r w:rsidRPr="00B274E7">
              <w:t>Ability to control the performance of atmospheric emission treatment systems</w:t>
            </w:r>
          </w:p>
        </w:tc>
        <w:tc>
          <w:tcPr>
            <w:tcW w:w="2419" w:type="pct"/>
            <w:tcBorders>
              <w:top w:val="single" w:sz="4" w:space="0" w:color="008000"/>
              <w:bottom w:val="single" w:sz="4" w:space="0" w:color="008000"/>
            </w:tcBorders>
            <w:shd w:val="clear" w:color="auto" w:fill="auto"/>
            <w:vAlign w:val="center"/>
          </w:tcPr>
          <w:p w14:paraId="2C5BAE01" w14:textId="77777777" w:rsidR="0060558A" w:rsidRPr="00B274E7" w:rsidRDefault="0060558A" w:rsidP="006036AC">
            <w:pPr>
              <w:pStyle w:val="CETBodytext"/>
              <w:jc w:val="left"/>
            </w:pPr>
            <w:r w:rsidRPr="00B274E7">
              <w:t>Yes, by sequentially measuring the inlet and outlet of the treatment system</w:t>
            </w:r>
          </w:p>
        </w:tc>
      </w:tr>
    </w:tbl>
    <w:p w14:paraId="30C98B60" w14:textId="77777777" w:rsidR="0060558A" w:rsidRDefault="0060558A" w:rsidP="0060558A">
      <w:pPr>
        <w:pStyle w:val="CETBodytext"/>
        <w:rPr>
          <w:lang w:val="en-GB"/>
        </w:rPr>
      </w:pPr>
    </w:p>
    <w:p w14:paraId="3A8DD24A" w14:textId="77777777" w:rsidR="008C1A01" w:rsidRPr="008C1A01" w:rsidRDefault="008C1A01" w:rsidP="008C1A01">
      <w:pPr>
        <w:pStyle w:val="CETBodytext"/>
        <w:rPr>
          <w:lang w:val="en-GB"/>
        </w:rPr>
      </w:pPr>
      <w:r w:rsidRPr="008C1A01">
        <w:rPr>
          <w:lang w:val="en-GB"/>
        </w:rPr>
        <w:t>The Vigi eNose</w:t>
      </w:r>
      <w:r w:rsidRPr="008C1A01">
        <w:rPr>
          <w:vertAlign w:val="superscript"/>
          <w:lang w:val="en-GB"/>
        </w:rPr>
        <w:t>®</w:t>
      </w:r>
      <w:r w:rsidRPr="008C1A01">
        <w:rPr>
          <w:lang w:val="en-GB"/>
        </w:rPr>
        <w:t xml:space="preserve"> analyser consists of a gas chromatograph with an electrochemical wet cell selective detector for the automatic analysis and monitoring of up to 14 individual VSC with LODs between 0.5 and 8 ppbv. The system is also provided with a photoionization detector (PID) to determine the total VOC concentration. The measurement results can be presented as individual concentrations of up to 14 VSC and as the sum of the OAV of the detected S derivatives (Sulphur Odour Index or S-OI), and VOCtot. In addition, it is possible to correlate these S-OI values with odour concentrations determined by dynamic olfactometry, as shown in Choi et al., 2012 and Li et al., 2017.</w:t>
      </w:r>
    </w:p>
    <w:p w14:paraId="1D87441D" w14:textId="1CFA3953" w:rsidR="00834D17" w:rsidRPr="0060558A" w:rsidRDefault="008C1A01" w:rsidP="008C1A01">
      <w:pPr>
        <w:pStyle w:val="CETBodytext"/>
        <w:rPr>
          <w:lang w:val="en-GB"/>
        </w:rPr>
      </w:pPr>
      <w:r w:rsidRPr="008C1A01">
        <w:rPr>
          <w:lang w:val="en-GB"/>
        </w:rPr>
        <w:t>The equation used for the calculation of the S-OI value is:</w:t>
      </w:r>
    </w:p>
    <w:tbl>
      <w:tblPr>
        <w:tblW w:w="5000" w:type="pct"/>
        <w:tblLook w:val="04A0" w:firstRow="1" w:lastRow="0" w:firstColumn="1" w:lastColumn="0" w:noHBand="0" w:noVBand="1"/>
      </w:tblPr>
      <w:tblGrid>
        <w:gridCol w:w="7984"/>
        <w:gridCol w:w="803"/>
      </w:tblGrid>
      <w:tr w:rsidR="00834D17" w:rsidRPr="00B57B36" w14:paraId="1159A916" w14:textId="77777777" w:rsidTr="00D945A5">
        <w:tc>
          <w:tcPr>
            <w:tcW w:w="8188" w:type="dxa"/>
            <w:shd w:val="clear" w:color="auto" w:fill="auto"/>
            <w:vAlign w:val="center"/>
          </w:tcPr>
          <w:p w14:paraId="694CD13E" w14:textId="4BAD83AA" w:rsidR="00834D17" w:rsidRPr="00AC29DC" w:rsidRDefault="00834D17" w:rsidP="00D945A5">
            <w:pPr>
              <w:pStyle w:val="CETEquation"/>
              <w:rPr>
                <w:rFonts w:asciiTheme="minorBidi" w:hAnsiTheme="minorBidi" w:cstheme="minorBidi"/>
              </w:rPr>
            </w:pPr>
            <m:oMathPara>
              <m:oMathParaPr>
                <m:jc m:val="left"/>
              </m:oMathParaPr>
              <m:oMath>
                <m:r>
                  <w:rPr>
                    <w:rFonts w:ascii="Cambria Math" w:hAnsi="Cambria Math" w:cstheme="minorBidi"/>
                  </w:rPr>
                  <m:t xml:space="preserve">S-OI= </m:t>
                </m:r>
                <m:nary>
                  <m:naryPr>
                    <m:chr m:val="∑"/>
                    <m:limLoc m:val="undOvr"/>
                    <m:ctrlPr>
                      <w:rPr>
                        <w:rFonts w:ascii="Cambria Math" w:hAnsi="Cambria Math" w:cstheme="minorBidi"/>
                        <w:i/>
                      </w:rPr>
                    </m:ctrlPr>
                  </m:naryPr>
                  <m:sub>
                    <m:r>
                      <w:rPr>
                        <w:rFonts w:ascii="Cambria Math" w:hAnsi="Cambria Math" w:cstheme="minorBidi"/>
                      </w:rPr>
                      <m:t>i=1</m:t>
                    </m:r>
                  </m:sub>
                  <m:sup>
                    <m:r>
                      <w:rPr>
                        <w:rFonts w:ascii="Cambria Math" w:hAnsi="Cambria Math" w:cstheme="minorBidi"/>
                      </w:rPr>
                      <m:t>n</m:t>
                    </m:r>
                  </m:sup>
                  <m:e>
                    <m:f>
                      <m:fPr>
                        <m:ctrlPr>
                          <w:rPr>
                            <w:rFonts w:ascii="Cambria Math" w:hAnsi="Cambria Math" w:cstheme="minorBidi"/>
                            <w:i/>
                          </w:rPr>
                        </m:ctrlPr>
                      </m:fPr>
                      <m:num>
                        <m:sSub>
                          <m:sSubPr>
                            <m:ctrlPr>
                              <w:rPr>
                                <w:rFonts w:ascii="Cambria Math" w:hAnsi="Cambria Math" w:cstheme="minorBidi"/>
                                <w:i/>
                              </w:rPr>
                            </m:ctrlPr>
                          </m:sSubPr>
                          <m:e>
                            <m:r>
                              <w:rPr>
                                <w:rFonts w:ascii="Cambria Math" w:hAnsi="Cambria Math" w:cstheme="minorBidi"/>
                              </w:rPr>
                              <m:t>C(VSC)</m:t>
                            </m:r>
                          </m:e>
                          <m:sub>
                            <m:r>
                              <w:rPr>
                                <w:rFonts w:ascii="Cambria Math" w:hAnsi="Cambria Math" w:cstheme="minorBidi"/>
                              </w:rPr>
                              <m:t>i</m:t>
                            </m:r>
                          </m:sub>
                        </m:sSub>
                      </m:num>
                      <m:den>
                        <m:sSub>
                          <m:sSubPr>
                            <m:ctrlPr>
                              <w:rPr>
                                <w:rFonts w:ascii="Cambria Math" w:hAnsi="Cambria Math" w:cstheme="minorBidi"/>
                                <w:i/>
                              </w:rPr>
                            </m:ctrlPr>
                          </m:sSubPr>
                          <m:e>
                            <m:r>
                              <w:rPr>
                                <w:rFonts w:ascii="Cambria Math" w:hAnsi="Cambria Math" w:cstheme="minorBidi"/>
                              </w:rPr>
                              <m:t>OT(VSC)</m:t>
                            </m:r>
                          </m:e>
                          <m:sub>
                            <m:r>
                              <w:rPr>
                                <w:rFonts w:ascii="Cambria Math" w:hAnsi="Cambria Math" w:cstheme="minorBidi"/>
                              </w:rPr>
                              <m:t>i</m:t>
                            </m:r>
                          </m:sub>
                        </m:sSub>
                      </m:den>
                    </m:f>
                  </m:e>
                </m:nary>
              </m:oMath>
            </m:oMathPara>
          </w:p>
        </w:tc>
        <w:tc>
          <w:tcPr>
            <w:tcW w:w="815" w:type="dxa"/>
            <w:shd w:val="clear" w:color="auto" w:fill="auto"/>
            <w:vAlign w:val="center"/>
          </w:tcPr>
          <w:p w14:paraId="43042704" w14:textId="77777777" w:rsidR="00834D17" w:rsidRPr="00B57B36" w:rsidRDefault="00834D17" w:rsidP="00D945A5">
            <w:pPr>
              <w:pStyle w:val="CETEquation"/>
              <w:jc w:val="right"/>
            </w:pPr>
            <w:r w:rsidRPr="00B57B36">
              <w:t>(1)</w:t>
            </w:r>
          </w:p>
        </w:tc>
      </w:tr>
    </w:tbl>
    <w:p w14:paraId="0753B96F" w14:textId="77777777" w:rsidR="008C1A01" w:rsidRPr="008C1A01" w:rsidRDefault="008C1A01" w:rsidP="008C1A01">
      <w:pPr>
        <w:pStyle w:val="CETBodytext"/>
        <w:rPr>
          <w:lang w:val="en-GB"/>
        </w:rPr>
      </w:pPr>
      <w:r w:rsidRPr="008C1A01">
        <w:rPr>
          <w:lang w:val="en-GB"/>
        </w:rPr>
        <w:lastRenderedPageBreak/>
        <w:t>Where S-OI is the Sulphur Odour Index, C(VSC)i are the concentrations of each of the different sulphur odorants analysed and OT(VSC)i are the odour thresholds of the sulphur odorants.</w:t>
      </w:r>
    </w:p>
    <w:p w14:paraId="31FD840F" w14:textId="77777777" w:rsidR="008C1A01" w:rsidRPr="008C1A01" w:rsidRDefault="008C1A01" w:rsidP="008C1A01">
      <w:pPr>
        <w:pStyle w:val="CETBodytext"/>
        <w:rPr>
          <w:lang w:val="en-GB"/>
        </w:rPr>
      </w:pPr>
      <w:r w:rsidRPr="008C1A01">
        <w:rPr>
          <w:lang w:val="en-GB"/>
        </w:rPr>
        <w:t>Furthermore, as the Vigi e-Nose® system is capable of performing a continuous characterization of multiple emission sources of different nature (point-source, aerial, volumetric, etc…), the measured concentrations can be easily and constantly sent to feed a cloud dispersion modelling system. Using a specific multi-source emission database, coupled to an online-dispersion model, can provide a relevant impact assessment capacity improvement, by providing, for example, a time-continuous pollutant dispersion and impact analysis (modelling results every 10 minutes) of a WWTP’s onsite measured emissions. Odour forecasting capabilities can be also implemented by coupling the dispersion model to a plant operation emission model (based on machine learning technology) and weather forecasting information systems.</w:t>
      </w:r>
    </w:p>
    <w:p w14:paraId="3EB3E75B" w14:textId="77777777" w:rsidR="008C1A01" w:rsidRDefault="008C1A01" w:rsidP="008C1A01">
      <w:pPr>
        <w:pStyle w:val="CETBodytext"/>
        <w:rPr>
          <w:lang w:val="en-GB"/>
        </w:rPr>
      </w:pPr>
      <w:r w:rsidRPr="008C1A01">
        <w:rPr>
          <w:lang w:val="en-GB"/>
        </w:rPr>
        <w:t>3 sampling and analysis campaigns were carried out between November of 2021 and January of 2022, in order to assess the performance of the Vigi eNose</w:t>
      </w:r>
      <w:r w:rsidRPr="008C1A01">
        <w:rPr>
          <w:vertAlign w:val="superscript"/>
          <w:lang w:val="en-GB"/>
        </w:rPr>
        <w:t>®</w:t>
      </w:r>
      <w:r w:rsidRPr="008C1A01">
        <w:rPr>
          <w:lang w:val="en-GB"/>
        </w:rPr>
        <w:t xml:space="preserve"> system. The scope of these campaigns is described in the following section.</w:t>
      </w:r>
    </w:p>
    <w:p w14:paraId="677EBFF0" w14:textId="111B324F" w:rsidR="00600535" w:rsidRDefault="005846EC" w:rsidP="00600535">
      <w:pPr>
        <w:pStyle w:val="CETHeading1"/>
        <w:tabs>
          <w:tab w:val="clear" w:pos="360"/>
          <w:tab w:val="right" w:pos="7100"/>
        </w:tabs>
        <w:jc w:val="both"/>
        <w:rPr>
          <w:lang w:val="en-GB"/>
        </w:rPr>
      </w:pPr>
      <w:r>
        <w:rPr>
          <w:lang w:val="en-GB"/>
        </w:rPr>
        <w:t>Ma</w:t>
      </w:r>
      <w:r w:rsidR="001E3155">
        <w:rPr>
          <w:lang w:val="en-GB"/>
        </w:rPr>
        <w:t>ter</w:t>
      </w:r>
      <w:r>
        <w:rPr>
          <w:lang w:val="en-GB"/>
        </w:rPr>
        <w:t>ials and Methods</w:t>
      </w:r>
    </w:p>
    <w:p w14:paraId="0DA495B7" w14:textId="77777777" w:rsidR="008C1A01" w:rsidRPr="008C1A01" w:rsidRDefault="008C1A01" w:rsidP="008C1A01">
      <w:pPr>
        <w:pStyle w:val="CETBodytext"/>
        <w:rPr>
          <w:lang w:val="en-GB"/>
        </w:rPr>
      </w:pPr>
      <w:r w:rsidRPr="008C1A01">
        <w:rPr>
          <w:lang w:val="en-GB"/>
        </w:rPr>
        <w:t>3 sampling campaigns were carried out in the San Jerónimo WWTP in November of 2020, July of 2021 and January of 2022, respectively. The emission samples were taken from 10 sources (including the 6 sources connected to Vigi eNose</w:t>
      </w:r>
      <w:r w:rsidRPr="008C1A01">
        <w:rPr>
          <w:vertAlign w:val="superscript"/>
          <w:lang w:val="en-GB"/>
        </w:rPr>
        <w:t>®</w:t>
      </w:r>
      <w:r w:rsidRPr="008C1A01">
        <w:rPr>
          <w:lang w:val="en-GB"/>
        </w:rPr>
        <w:t xml:space="preserve"> system for on-line monitoring) in 10 L Nalophan® bags using the necessary equipment as appropriate (lung device, Lindvall hood, probe, …). Concurrent temperature, humidity and velocity measurements were also made where applicable. The measured sources include: biofilter outlet treating headwork emissions, primary settler, primary settler’s carbon filter outlet, biological treatment, sludge digester carbon filter outlet, secondary settler, sludge scrubber outlet, cogeneration vent and stack, and sludge storage carbon filter outlet. Four replicates were taken of each sample: three were used exclusively for the odour concentration analysis and the fourth one was for the rest of the determinations, following the methodology indicated in Almarcha et al. (2014).</w:t>
      </w:r>
    </w:p>
    <w:p w14:paraId="7E10473F" w14:textId="77777777" w:rsidR="008C1A01" w:rsidRPr="008C1A01" w:rsidRDefault="008C1A01" w:rsidP="008C1A01">
      <w:pPr>
        <w:pStyle w:val="CETBodytext"/>
        <w:rPr>
          <w:lang w:val="en-GB"/>
        </w:rPr>
      </w:pPr>
      <w:r w:rsidRPr="008C1A01">
        <w:rPr>
          <w:lang w:val="en-GB"/>
        </w:rPr>
        <w:t>Odour concentration was measured in the emission samples by dynamic olfactometry and was performed by SGS Tecnos S.A., Spain. H</w:t>
      </w:r>
      <w:r w:rsidRPr="008C1A01">
        <w:rPr>
          <w:vertAlign w:val="subscript"/>
          <w:lang w:val="en-GB"/>
        </w:rPr>
        <w:t>2</w:t>
      </w:r>
      <w:r w:rsidRPr="008C1A01">
        <w:rPr>
          <w:lang w:val="en-GB"/>
        </w:rPr>
        <w:t>S concentration was analysed with the Vigi eNose</w:t>
      </w:r>
      <w:r w:rsidRPr="008C1A01">
        <w:rPr>
          <w:vertAlign w:val="superscript"/>
          <w:lang w:val="en-GB"/>
        </w:rPr>
        <w:t>®</w:t>
      </w:r>
      <w:r w:rsidRPr="008C1A01">
        <w:rPr>
          <w:lang w:val="en-GB"/>
        </w:rPr>
        <w:t xml:space="preserve"> system working in manual mode and also with a Jerome J605 portable H</w:t>
      </w:r>
      <w:r w:rsidRPr="008C1A01">
        <w:rPr>
          <w:vertAlign w:val="subscript"/>
          <w:lang w:val="en-GB"/>
        </w:rPr>
        <w:t>2</w:t>
      </w:r>
      <w:r w:rsidRPr="008C1A01">
        <w:rPr>
          <w:lang w:val="en-GB"/>
        </w:rPr>
        <w:t>S analyser. VSC concentrations were analysed as well by means of the Vigi eNose</w:t>
      </w:r>
      <w:r w:rsidRPr="008C1A01">
        <w:rPr>
          <w:vertAlign w:val="superscript"/>
          <w:lang w:val="en-GB"/>
        </w:rPr>
        <w:t>®</w:t>
      </w:r>
      <w:r w:rsidRPr="008C1A01">
        <w:rPr>
          <w:lang w:val="en-GB"/>
        </w:rPr>
        <w:t xml:space="preserve"> system, also in manual mode.</w:t>
      </w:r>
    </w:p>
    <w:p w14:paraId="54A48B25" w14:textId="7F7687FB" w:rsidR="002B5462" w:rsidRPr="008C1A01" w:rsidRDefault="008C1A01" w:rsidP="008C1A01">
      <w:pPr>
        <w:pStyle w:val="CETBodytext"/>
        <w:rPr>
          <w:lang w:val="en-GB"/>
        </w:rPr>
      </w:pPr>
      <w:r w:rsidRPr="008C1A01">
        <w:rPr>
          <w:lang w:val="en-GB"/>
        </w:rPr>
        <w:t>For the present assessment, the Meteosim Solution</w:t>
      </w:r>
      <w:r w:rsidRPr="008C1A01">
        <w:rPr>
          <w:vertAlign w:val="superscript"/>
          <w:lang w:val="en-GB"/>
        </w:rPr>
        <w:t>®</w:t>
      </w:r>
      <w:r w:rsidRPr="008C1A01">
        <w:rPr>
          <w:lang w:val="en-GB"/>
        </w:rPr>
        <w:t xml:space="preserve"> software, an online combination of the WRF-ARW model (meteorology), Air Emission Model of Meteosim (emissions intelligent database), CALMET system (meteorological pre-processor) and CALPUFF model (dispersion), has been used to build the online dispersion and odour impact analysis tool for advanced and proactive management of WWTPs</w:t>
      </w:r>
      <w:r w:rsidR="002B5462" w:rsidRPr="0060558A">
        <w:t>.</w:t>
      </w:r>
    </w:p>
    <w:p w14:paraId="01708D20" w14:textId="77777777" w:rsidR="001E3155" w:rsidRPr="0060558A" w:rsidRDefault="001E3155" w:rsidP="001E3155">
      <w:pPr>
        <w:pStyle w:val="CETHeading1"/>
        <w:rPr>
          <w:lang w:val="en-GB"/>
        </w:rPr>
      </w:pPr>
      <w:r w:rsidRPr="0060558A">
        <w:rPr>
          <w:lang w:val="en-GB"/>
        </w:rPr>
        <w:t>Results and discussion</w:t>
      </w:r>
    </w:p>
    <w:p w14:paraId="035156BF" w14:textId="77777777" w:rsidR="008C1A01" w:rsidRDefault="008C1A01" w:rsidP="00E644BD">
      <w:pPr>
        <w:pStyle w:val="CETBodytext"/>
        <w:rPr>
          <w:lang w:val="en-GB"/>
        </w:rPr>
      </w:pPr>
      <w:r w:rsidRPr="008C1A01">
        <w:rPr>
          <w:lang w:val="en-GB"/>
        </w:rPr>
        <w:t>Two different types of results will be presented in this section. Firstly, a summary of all the results obtained during 1 month (September-October 2021) of the Vigi eNose</w:t>
      </w:r>
      <w:r w:rsidRPr="008C1A01">
        <w:rPr>
          <w:vertAlign w:val="superscript"/>
          <w:lang w:val="en-GB"/>
        </w:rPr>
        <w:t>®</w:t>
      </w:r>
      <w:r w:rsidRPr="008C1A01">
        <w:rPr>
          <w:lang w:val="en-GB"/>
        </w:rPr>
        <w:t>’s normal operation. Secondly, a summary the results of the 3 sampling and analysis campaigns carried out are shown. For the analyser’s regular operation, 5 emission sources (the biofilter outlet, the sludge digester, the primary settler’s carbon filter outlet, the biologic treatment and the sludge scrubber) were sequentially aspirated and analysed in 20-minute cycles. The results of the analyses have been used to prepare the summary included in Table 2 and Figure 1, which show the average H</w:t>
      </w:r>
      <w:r w:rsidRPr="008C1A01">
        <w:rPr>
          <w:vertAlign w:val="subscript"/>
          <w:lang w:val="en-GB"/>
        </w:rPr>
        <w:t>2</w:t>
      </w:r>
      <w:r w:rsidRPr="008C1A01">
        <w:rPr>
          <w:lang w:val="en-GB"/>
        </w:rPr>
        <w:t>S and other VSC concentrations obtained with the Vigi eNose</w:t>
      </w:r>
      <w:r w:rsidRPr="008C1A01">
        <w:rPr>
          <w:vertAlign w:val="superscript"/>
          <w:lang w:val="en-GB"/>
        </w:rPr>
        <w:t>®</w:t>
      </w:r>
      <w:r w:rsidRPr="008C1A01">
        <w:rPr>
          <w:lang w:val="en-GB"/>
        </w:rPr>
        <w:t xml:space="preserve"> system during this 1-month period.</w:t>
      </w:r>
    </w:p>
    <w:p w14:paraId="19798D45" w14:textId="4C00AD72" w:rsidR="00066427" w:rsidRPr="00B57B36" w:rsidRDefault="00066427" w:rsidP="00066427">
      <w:pPr>
        <w:pStyle w:val="CETTabletitle"/>
      </w:pPr>
      <w:r w:rsidRPr="00B57B36">
        <w:t>T</w:t>
      </w:r>
      <w:r w:rsidRPr="000F7146">
        <w:t xml:space="preserve">able 2: </w:t>
      </w:r>
      <w:r w:rsidR="008C1A01" w:rsidRPr="000F7146">
        <w:t>Average September-October 2021 Vigi eNose</w:t>
      </w:r>
      <w:r w:rsidR="008C1A01" w:rsidRPr="00B43C54">
        <w:rPr>
          <w:vertAlign w:val="superscript"/>
        </w:rPr>
        <w:t>®</w:t>
      </w:r>
      <w:r w:rsidR="008C1A01">
        <w:t xml:space="preserve"> results (ppbv) of </w:t>
      </w:r>
      <w:r w:rsidR="008C1A01" w:rsidRPr="000F7146">
        <w:t>VSC</w:t>
      </w:r>
      <w:r w:rsidR="008C1A01">
        <w:t xml:space="preserve"> in</w:t>
      </w:r>
      <w:r w:rsidR="008C1A01" w:rsidRPr="000F7146">
        <w:t xml:space="preserve"> 5 emission sources</w:t>
      </w:r>
      <w:r w:rsidRPr="000F7146">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27"/>
        <w:gridCol w:w="567"/>
        <w:gridCol w:w="708"/>
        <w:gridCol w:w="567"/>
        <w:gridCol w:w="709"/>
        <w:gridCol w:w="567"/>
        <w:gridCol w:w="709"/>
        <w:gridCol w:w="850"/>
        <w:gridCol w:w="567"/>
        <w:gridCol w:w="709"/>
        <w:gridCol w:w="707"/>
      </w:tblGrid>
      <w:tr w:rsidR="00066427" w:rsidRPr="00B57B36" w14:paraId="7C98C8A0" w14:textId="77777777" w:rsidTr="00D945A5">
        <w:tc>
          <w:tcPr>
            <w:tcW w:w="2127" w:type="dxa"/>
            <w:tcBorders>
              <w:top w:val="single" w:sz="12" w:space="0" w:color="008000"/>
              <w:bottom w:val="single" w:sz="6" w:space="0" w:color="008000"/>
            </w:tcBorders>
            <w:shd w:val="clear" w:color="auto" w:fill="FFFFFF"/>
          </w:tcPr>
          <w:p w14:paraId="672D5D17" w14:textId="77777777" w:rsidR="00066427" w:rsidRPr="00B57B36" w:rsidRDefault="00066427" w:rsidP="00D945A5">
            <w:pPr>
              <w:pStyle w:val="CETBodytext"/>
              <w:jc w:val="left"/>
              <w:rPr>
                <w:lang w:val="en-GB"/>
              </w:rPr>
            </w:pPr>
            <w:r>
              <w:rPr>
                <w:lang w:val="en-GB"/>
              </w:rPr>
              <w:t>Source</w:t>
            </w:r>
          </w:p>
        </w:tc>
        <w:tc>
          <w:tcPr>
            <w:tcW w:w="567" w:type="dxa"/>
            <w:tcBorders>
              <w:top w:val="single" w:sz="12" w:space="0" w:color="008000"/>
              <w:bottom w:val="single" w:sz="6" w:space="0" w:color="008000"/>
            </w:tcBorders>
            <w:shd w:val="clear" w:color="auto" w:fill="FFFFFF"/>
          </w:tcPr>
          <w:p w14:paraId="52593111" w14:textId="77777777" w:rsidR="00066427" w:rsidRPr="00B57B36" w:rsidRDefault="00066427" w:rsidP="00D945A5">
            <w:pPr>
              <w:pStyle w:val="CETBodytext"/>
              <w:jc w:val="left"/>
              <w:rPr>
                <w:lang w:val="en-GB"/>
              </w:rPr>
            </w:pPr>
            <w:r>
              <w:rPr>
                <w:lang w:val="en-GB"/>
              </w:rPr>
              <w:t>H</w:t>
            </w:r>
            <w:r w:rsidRPr="00A100EE">
              <w:rPr>
                <w:vertAlign w:val="subscript"/>
                <w:lang w:val="en-GB"/>
              </w:rPr>
              <w:t>2</w:t>
            </w:r>
            <w:r>
              <w:rPr>
                <w:lang w:val="en-GB"/>
              </w:rPr>
              <w:t>S</w:t>
            </w:r>
          </w:p>
        </w:tc>
        <w:tc>
          <w:tcPr>
            <w:tcW w:w="708" w:type="dxa"/>
            <w:tcBorders>
              <w:top w:val="single" w:sz="12" w:space="0" w:color="008000"/>
              <w:bottom w:val="single" w:sz="6" w:space="0" w:color="008000"/>
            </w:tcBorders>
            <w:shd w:val="clear" w:color="auto" w:fill="FFFFFF"/>
          </w:tcPr>
          <w:p w14:paraId="42BC40BA" w14:textId="77777777" w:rsidR="00066427" w:rsidRPr="00B57B36" w:rsidRDefault="00066427" w:rsidP="00D945A5">
            <w:pPr>
              <w:pStyle w:val="CETBodytext"/>
              <w:jc w:val="left"/>
              <w:rPr>
                <w:lang w:val="en-GB"/>
              </w:rPr>
            </w:pPr>
            <w:r>
              <w:rPr>
                <w:lang w:val="en-GB"/>
              </w:rPr>
              <w:t>2-Butyl-SH</w:t>
            </w:r>
          </w:p>
        </w:tc>
        <w:tc>
          <w:tcPr>
            <w:tcW w:w="567" w:type="dxa"/>
            <w:tcBorders>
              <w:top w:val="single" w:sz="12" w:space="0" w:color="008000"/>
              <w:bottom w:val="single" w:sz="6" w:space="0" w:color="008000"/>
            </w:tcBorders>
            <w:shd w:val="clear" w:color="auto" w:fill="FFFFFF"/>
          </w:tcPr>
          <w:p w14:paraId="4B0BFA75" w14:textId="77777777" w:rsidR="00066427" w:rsidRPr="00B57B36" w:rsidRDefault="00066427" w:rsidP="00D945A5">
            <w:pPr>
              <w:pStyle w:val="CETBodytext"/>
              <w:ind w:right="-1"/>
              <w:jc w:val="left"/>
              <w:rPr>
                <w:rFonts w:cs="Arial"/>
                <w:szCs w:val="18"/>
                <w:lang w:val="en-GB"/>
              </w:rPr>
            </w:pPr>
            <w:r>
              <w:rPr>
                <w:rFonts w:cs="Arial"/>
                <w:szCs w:val="18"/>
                <w:lang w:val="en-GB"/>
              </w:rPr>
              <w:t>DES</w:t>
            </w:r>
          </w:p>
        </w:tc>
        <w:tc>
          <w:tcPr>
            <w:tcW w:w="709" w:type="dxa"/>
            <w:tcBorders>
              <w:top w:val="single" w:sz="12" w:space="0" w:color="008000"/>
              <w:bottom w:val="single" w:sz="6" w:space="0" w:color="008000"/>
            </w:tcBorders>
            <w:shd w:val="clear" w:color="auto" w:fill="FFFFFF"/>
          </w:tcPr>
          <w:p w14:paraId="25944102" w14:textId="77777777" w:rsidR="00066427" w:rsidRPr="00B57B36" w:rsidRDefault="00066427" w:rsidP="00D945A5">
            <w:pPr>
              <w:pStyle w:val="CETBodytext"/>
              <w:ind w:right="-1"/>
              <w:jc w:val="left"/>
              <w:rPr>
                <w:rFonts w:cs="Arial"/>
                <w:szCs w:val="18"/>
                <w:lang w:val="en-GB"/>
              </w:rPr>
            </w:pPr>
            <w:r>
              <w:rPr>
                <w:rFonts w:cs="Arial"/>
                <w:szCs w:val="18"/>
                <w:lang w:val="en-GB"/>
              </w:rPr>
              <w:t>DMDS</w:t>
            </w:r>
          </w:p>
        </w:tc>
        <w:tc>
          <w:tcPr>
            <w:tcW w:w="567" w:type="dxa"/>
            <w:tcBorders>
              <w:top w:val="single" w:sz="12" w:space="0" w:color="008000"/>
              <w:bottom w:val="single" w:sz="6" w:space="0" w:color="008000"/>
            </w:tcBorders>
            <w:shd w:val="clear" w:color="auto" w:fill="FFFFFF"/>
          </w:tcPr>
          <w:p w14:paraId="438EAFC9" w14:textId="77777777" w:rsidR="00066427" w:rsidRPr="00B57B36" w:rsidRDefault="00066427" w:rsidP="00D945A5">
            <w:pPr>
              <w:pStyle w:val="CETBodytext"/>
              <w:ind w:right="-1"/>
              <w:jc w:val="left"/>
              <w:rPr>
                <w:rFonts w:cs="Arial"/>
                <w:szCs w:val="18"/>
                <w:lang w:val="en-GB"/>
              </w:rPr>
            </w:pPr>
            <w:r>
              <w:rPr>
                <w:rFonts w:cs="Arial"/>
                <w:szCs w:val="18"/>
                <w:lang w:val="en-GB"/>
              </w:rPr>
              <w:t>DMS</w:t>
            </w:r>
          </w:p>
        </w:tc>
        <w:tc>
          <w:tcPr>
            <w:tcW w:w="709" w:type="dxa"/>
            <w:tcBorders>
              <w:top w:val="single" w:sz="12" w:space="0" w:color="008000"/>
              <w:bottom w:val="single" w:sz="6" w:space="0" w:color="008000"/>
            </w:tcBorders>
            <w:shd w:val="clear" w:color="auto" w:fill="FFFFFF"/>
          </w:tcPr>
          <w:p w14:paraId="53FA857D" w14:textId="77777777" w:rsidR="00066427" w:rsidRPr="00B57B36" w:rsidRDefault="00066427" w:rsidP="00D945A5">
            <w:pPr>
              <w:pStyle w:val="CETBodytext"/>
              <w:ind w:right="-1"/>
              <w:jc w:val="left"/>
              <w:rPr>
                <w:rFonts w:cs="Arial"/>
                <w:szCs w:val="18"/>
                <w:lang w:val="en-GB"/>
              </w:rPr>
            </w:pPr>
            <w:r>
              <w:rPr>
                <w:rFonts w:cs="Arial"/>
                <w:szCs w:val="18"/>
                <w:lang w:val="en-GB"/>
              </w:rPr>
              <w:t>Ethyl-SH</w:t>
            </w:r>
          </w:p>
        </w:tc>
        <w:tc>
          <w:tcPr>
            <w:tcW w:w="850" w:type="dxa"/>
            <w:tcBorders>
              <w:top w:val="single" w:sz="12" w:space="0" w:color="008000"/>
              <w:bottom w:val="single" w:sz="6" w:space="0" w:color="008000"/>
            </w:tcBorders>
            <w:shd w:val="clear" w:color="auto" w:fill="FFFFFF"/>
          </w:tcPr>
          <w:p w14:paraId="4CDFF396" w14:textId="77777777" w:rsidR="00066427" w:rsidRPr="00B57B36" w:rsidRDefault="00066427" w:rsidP="00D945A5">
            <w:pPr>
              <w:pStyle w:val="CETBodytext"/>
              <w:ind w:right="-1"/>
              <w:jc w:val="left"/>
              <w:rPr>
                <w:rFonts w:cs="Arial"/>
                <w:szCs w:val="18"/>
                <w:lang w:val="en-GB"/>
              </w:rPr>
            </w:pPr>
            <w:r>
              <w:rPr>
                <w:rFonts w:cs="Arial"/>
                <w:szCs w:val="18"/>
                <w:lang w:val="en-GB"/>
              </w:rPr>
              <w:t>Iso-Butyl-SH</w:t>
            </w:r>
          </w:p>
        </w:tc>
        <w:tc>
          <w:tcPr>
            <w:tcW w:w="567" w:type="dxa"/>
            <w:tcBorders>
              <w:top w:val="single" w:sz="12" w:space="0" w:color="008000"/>
              <w:bottom w:val="single" w:sz="6" w:space="0" w:color="008000"/>
            </w:tcBorders>
            <w:shd w:val="clear" w:color="auto" w:fill="FFFFFF"/>
          </w:tcPr>
          <w:p w14:paraId="46909FE7" w14:textId="77777777" w:rsidR="00066427" w:rsidRPr="00B57B36" w:rsidRDefault="00066427" w:rsidP="00D945A5">
            <w:pPr>
              <w:pStyle w:val="CETBodytext"/>
              <w:ind w:right="-1"/>
              <w:jc w:val="left"/>
              <w:rPr>
                <w:rFonts w:cs="Arial"/>
                <w:szCs w:val="18"/>
                <w:lang w:val="en-GB"/>
              </w:rPr>
            </w:pPr>
            <w:r>
              <w:rPr>
                <w:rFonts w:cs="Arial"/>
                <w:szCs w:val="18"/>
                <w:lang w:val="en-GB"/>
              </w:rPr>
              <w:t>MES</w:t>
            </w:r>
          </w:p>
        </w:tc>
        <w:tc>
          <w:tcPr>
            <w:tcW w:w="709" w:type="dxa"/>
            <w:tcBorders>
              <w:top w:val="single" w:sz="12" w:space="0" w:color="008000"/>
              <w:bottom w:val="single" w:sz="6" w:space="0" w:color="008000"/>
            </w:tcBorders>
            <w:shd w:val="clear" w:color="auto" w:fill="FFFFFF"/>
          </w:tcPr>
          <w:p w14:paraId="355335AA" w14:textId="77777777" w:rsidR="00066427" w:rsidRPr="00B57B36" w:rsidRDefault="00066427" w:rsidP="00D945A5">
            <w:pPr>
              <w:pStyle w:val="CETBodytext"/>
              <w:ind w:right="-1"/>
              <w:jc w:val="left"/>
              <w:rPr>
                <w:rFonts w:cs="Arial"/>
                <w:szCs w:val="18"/>
                <w:lang w:val="en-GB"/>
              </w:rPr>
            </w:pPr>
            <w:r>
              <w:rPr>
                <w:rFonts w:cs="Arial"/>
                <w:szCs w:val="18"/>
                <w:lang w:val="en-GB"/>
              </w:rPr>
              <w:t>Methyl-SH</w:t>
            </w:r>
          </w:p>
        </w:tc>
        <w:tc>
          <w:tcPr>
            <w:tcW w:w="707" w:type="dxa"/>
            <w:tcBorders>
              <w:top w:val="single" w:sz="12" w:space="0" w:color="008000"/>
              <w:bottom w:val="single" w:sz="6" w:space="0" w:color="008000"/>
            </w:tcBorders>
            <w:shd w:val="clear" w:color="auto" w:fill="FFFFFF"/>
          </w:tcPr>
          <w:p w14:paraId="543E7EF1" w14:textId="77777777" w:rsidR="00066427" w:rsidRPr="00B57B36" w:rsidRDefault="00066427" w:rsidP="00D945A5">
            <w:pPr>
              <w:pStyle w:val="CETBodytext"/>
              <w:ind w:right="-1"/>
              <w:jc w:val="left"/>
              <w:rPr>
                <w:rFonts w:cs="Arial"/>
                <w:szCs w:val="18"/>
                <w:lang w:val="en-GB"/>
              </w:rPr>
            </w:pPr>
            <w:r>
              <w:rPr>
                <w:rFonts w:cs="Arial"/>
                <w:szCs w:val="18"/>
                <w:lang w:val="en-GB"/>
              </w:rPr>
              <w:t>Odour Index</w:t>
            </w:r>
          </w:p>
        </w:tc>
      </w:tr>
      <w:tr w:rsidR="00066427" w:rsidRPr="00B57B36" w14:paraId="12472ECB" w14:textId="77777777" w:rsidTr="00D945A5">
        <w:tc>
          <w:tcPr>
            <w:tcW w:w="2127" w:type="dxa"/>
            <w:shd w:val="clear" w:color="auto" w:fill="FFFFFF"/>
          </w:tcPr>
          <w:p w14:paraId="0C55A39B" w14:textId="77777777" w:rsidR="00066427" w:rsidRPr="00B57B36" w:rsidRDefault="00066427" w:rsidP="00D945A5">
            <w:pPr>
              <w:pStyle w:val="CETBodytext"/>
              <w:jc w:val="left"/>
              <w:rPr>
                <w:lang w:val="en-GB"/>
              </w:rPr>
            </w:pPr>
            <w:r>
              <w:rPr>
                <w:lang w:val="en-GB"/>
              </w:rPr>
              <w:t>Biofilter outlet</w:t>
            </w:r>
          </w:p>
        </w:tc>
        <w:tc>
          <w:tcPr>
            <w:tcW w:w="567" w:type="dxa"/>
            <w:shd w:val="clear" w:color="auto" w:fill="FFFFFF"/>
            <w:vAlign w:val="center"/>
          </w:tcPr>
          <w:p w14:paraId="4C721FFD" w14:textId="77777777" w:rsidR="00066427" w:rsidRPr="008C2A9A" w:rsidRDefault="00066427" w:rsidP="00D945A5">
            <w:pPr>
              <w:pStyle w:val="CETBodytext"/>
              <w:ind w:right="-1"/>
            </w:pPr>
            <w:r w:rsidRPr="008C2A9A">
              <w:t>0.7</w:t>
            </w:r>
          </w:p>
        </w:tc>
        <w:tc>
          <w:tcPr>
            <w:tcW w:w="708" w:type="dxa"/>
            <w:shd w:val="clear" w:color="auto" w:fill="FFFFFF"/>
            <w:vAlign w:val="center"/>
          </w:tcPr>
          <w:p w14:paraId="51420CF8" w14:textId="77777777" w:rsidR="00066427" w:rsidRPr="008C2A9A" w:rsidRDefault="00066427" w:rsidP="00D945A5">
            <w:pPr>
              <w:pStyle w:val="CETBodytext"/>
              <w:ind w:right="-1"/>
            </w:pPr>
            <w:r w:rsidRPr="008C2A9A">
              <w:t>0.6</w:t>
            </w:r>
          </w:p>
        </w:tc>
        <w:tc>
          <w:tcPr>
            <w:tcW w:w="567" w:type="dxa"/>
            <w:shd w:val="clear" w:color="auto" w:fill="FFFFFF"/>
            <w:vAlign w:val="center"/>
          </w:tcPr>
          <w:p w14:paraId="6DF85AAF" w14:textId="77777777" w:rsidR="00066427" w:rsidRPr="008C2A9A" w:rsidRDefault="00066427" w:rsidP="00D945A5">
            <w:pPr>
              <w:pStyle w:val="CETBodytext"/>
              <w:ind w:right="-1"/>
            </w:pPr>
            <w:r w:rsidRPr="008C2A9A">
              <w:t>4.1</w:t>
            </w:r>
          </w:p>
        </w:tc>
        <w:tc>
          <w:tcPr>
            <w:tcW w:w="709" w:type="dxa"/>
            <w:shd w:val="clear" w:color="auto" w:fill="FFFFFF"/>
            <w:vAlign w:val="center"/>
          </w:tcPr>
          <w:p w14:paraId="6BBBEE8C" w14:textId="77777777" w:rsidR="00066427" w:rsidRPr="008C2A9A" w:rsidRDefault="00066427" w:rsidP="00D945A5">
            <w:pPr>
              <w:pStyle w:val="CETBodytext"/>
              <w:ind w:right="-1"/>
            </w:pPr>
            <w:r w:rsidRPr="008C2A9A">
              <w:t>14.4</w:t>
            </w:r>
          </w:p>
        </w:tc>
        <w:tc>
          <w:tcPr>
            <w:tcW w:w="567" w:type="dxa"/>
            <w:shd w:val="clear" w:color="auto" w:fill="FFFFFF"/>
            <w:vAlign w:val="center"/>
          </w:tcPr>
          <w:p w14:paraId="23BB5E2F" w14:textId="77777777" w:rsidR="00066427" w:rsidRPr="008C2A9A" w:rsidRDefault="00066427" w:rsidP="00D945A5">
            <w:pPr>
              <w:pStyle w:val="CETBodytext"/>
              <w:ind w:right="-1"/>
            </w:pPr>
            <w:r w:rsidRPr="008C2A9A">
              <w:t>0.0</w:t>
            </w:r>
          </w:p>
        </w:tc>
        <w:tc>
          <w:tcPr>
            <w:tcW w:w="709" w:type="dxa"/>
            <w:shd w:val="clear" w:color="auto" w:fill="FFFFFF"/>
            <w:vAlign w:val="center"/>
          </w:tcPr>
          <w:p w14:paraId="6618E526" w14:textId="77777777" w:rsidR="00066427" w:rsidRPr="008C2A9A" w:rsidRDefault="00066427" w:rsidP="00D945A5">
            <w:pPr>
              <w:pStyle w:val="CETBodytext"/>
              <w:ind w:right="-1"/>
            </w:pPr>
            <w:r w:rsidRPr="008C2A9A">
              <w:t>0.0</w:t>
            </w:r>
          </w:p>
        </w:tc>
        <w:tc>
          <w:tcPr>
            <w:tcW w:w="850" w:type="dxa"/>
            <w:shd w:val="clear" w:color="auto" w:fill="FFFFFF"/>
            <w:vAlign w:val="center"/>
          </w:tcPr>
          <w:p w14:paraId="641BC5DC" w14:textId="77777777" w:rsidR="00066427" w:rsidRPr="008C2A9A" w:rsidRDefault="00066427" w:rsidP="00D945A5">
            <w:pPr>
              <w:pStyle w:val="CETBodytext"/>
              <w:ind w:right="-1"/>
            </w:pPr>
            <w:r w:rsidRPr="008C2A9A">
              <w:t>0.4</w:t>
            </w:r>
          </w:p>
        </w:tc>
        <w:tc>
          <w:tcPr>
            <w:tcW w:w="567" w:type="dxa"/>
            <w:shd w:val="clear" w:color="auto" w:fill="FFFFFF"/>
            <w:vAlign w:val="center"/>
          </w:tcPr>
          <w:p w14:paraId="188267B5" w14:textId="77777777" w:rsidR="00066427" w:rsidRPr="008C2A9A" w:rsidRDefault="00066427" w:rsidP="00D945A5">
            <w:pPr>
              <w:pStyle w:val="CETBodytext"/>
              <w:ind w:right="-1"/>
            </w:pPr>
            <w:r w:rsidRPr="008C2A9A">
              <w:t>0.2</w:t>
            </w:r>
          </w:p>
        </w:tc>
        <w:tc>
          <w:tcPr>
            <w:tcW w:w="709" w:type="dxa"/>
            <w:shd w:val="clear" w:color="auto" w:fill="FFFFFF"/>
            <w:vAlign w:val="center"/>
          </w:tcPr>
          <w:p w14:paraId="5DD15BFA" w14:textId="77777777" w:rsidR="00066427" w:rsidRPr="008C2A9A" w:rsidRDefault="00066427" w:rsidP="00D945A5">
            <w:pPr>
              <w:pStyle w:val="CETBodytext"/>
              <w:ind w:right="-1"/>
            </w:pPr>
            <w:r w:rsidRPr="008C2A9A">
              <w:t>0.8</w:t>
            </w:r>
          </w:p>
        </w:tc>
        <w:tc>
          <w:tcPr>
            <w:tcW w:w="707" w:type="dxa"/>
            <w:shd w:val="clear" w:color="auto" w:fill="FFFFFF"/>
            <w:vAlign w:val="center"/>
          </w:tcPr>
          <w:p w14:paraId="43C25BC3" w14:textId="77777777" w:rsidR="00066427" w:rsidRPr="008C2A9A" w:rsidRDefault="00066427" w:rsidP="00D945A5">
            <w:pPr>
              <w:pStyle w:val="CETBodytext"/>
              <w:ind w:right="-1"/>
            </w:pPr>
            <w:r w:rsidRPr="008C2A9A">
              <w:t>202</w:t>
            </w:r>
          </w:p>
        </w:tc>
      </w:tr>
      <w:tr w:rsidR="00066427" w:rsidRPr="00B57B36" w14:paraId="4ED18CB6" w14:textId="77777777" w:rsidTr="00D945A5">
        <w:tc>
          <w:tcPr>
            <w:tcW w:w="2127" w:type="dxa"/>
            <w:shd w:val="clear" w:color="auto" w:fill="FFFFFF"/>
          </w:tcPr>
          <w:p w14:paraId="4FDAEB40" w14:textId="77777777" w:rsidR="00066427" w:rsidRPr="00B57B36" w:rsidRDefault="00066427" w:rsidP="00D945A5">
            <w:pPr>
              <w:pStyle w:val="CETBodytext"/>
              <w:ind w:right="-1"/>
              <w:jc w:val="left"/>
              <w:rPr>
                <w:rFonts w:cs="Arial"/>
                <w:szCs w:val="18"/>
                <w:lang w:val="en-GB"/>
              </w:rPr>
            </w:pPr>
            <w:r>
              <w:rPr>
                <w:rFonts w:cs="Arial"/>
                <w:szCs w:val="18"/>
                <w:lang w:val="en-GB"/>
              </w:rPr>
              <w:t>Sludge digester</w:t>
            </w:r>
          </w:p>
        </w:tc>
        <w:tc>
          <w:tcPr>
            <w:tcW w:w="567" w:type="dxa"/>
            <w:shd w:val="clear" w:color="auto" w:fill="FFFFFF"/>
            <w:vAlign w:val="center"/>
          </w:tcPr>
          <w:p w14:paraId="1C7FD75C" w14:textId="77777777" w:rsidR="00066427" w:rsidRPr="008C2A9A" w:rsidRDefault="00066427" w:rsidP="00D945A5">
            <w:pPr>
              <w:pStyle w:val="CETBodytext"/>
              <w:ind w:right="-1"/>
            </w:pPr>
            <w:r w:rsidRPr="008C2A9A">
              <w:t>2.7</w:t>
            </w:r>
          </w:p>
        </w:tc>
        <w:tc>
          <w:tcPr>
            <w:tcW w:w="708" w:type="dxa"/>
            <w:shd w:val="clear" w:color="auto" w:fill="FFFFFF"/>
            <w:vAlign w:val="center"/>
          </w:tcPr>
          <w:p w14:paraId="6F75A77B" w14:textId="77777777" w:rsidR="00066427" w:rsidRPr="008C2A9A" w:rsidRDefault="00066427" w:rsidP="00D945A5">
            <w:pPr>
              <w:pStyle w:val="CETBodytext"/>
              <w:ind w:right="-1"/>
            </w:pPr>
            <w:r w:rsidRPr="008C2A9A">
              <w:t>0.2</w:t>
            </w:r>
          </w:p>
        </w:tc>
        <w:tc>
          <w:tcPr>
            <w:tcW w:w="567" w:type="dxa"/>
            <w:shd w:val="clear" w:color="auto" w:fill="FFFFFF"/>
            <w:vAlign w:val="center"/>
          </w:tcPr>
          <w:p w14:paraId="0FA70954" w14:textId="77777777" w:rsidR="00066427" w:rsidRPr="008C2A9A" w:rsidRDefault="00066427" w:rsidP="00D945A5">
            <w:pPr>
              <w:pStyle w:val="CETBodytext"/>
              <w:ind w:right="-1"/>
            </w:pPr>
            <w:r w:rsidRPr="008C2A9A">
              <w:t>6.7</w:t>
            </w:r>
          </w:p>
        </w:tc>
        <w:tc>
          <w:tcPr>
            <w:tcW w:w="709" w:type="dxa"/>
            <w:shd w:val="clear" w:color="auto" w:fill="FFFFFF"/>
            <w:vAlign w:val="center"/>
          </w:tcPr>
          <w:p w14:paraId="161DA7DF" w14:textId="77777777" w:rsidR="00066427" w:rsidRPr="008C2A9A" w:rsidRDefault="00066427" w:rsidP="00D945A5">
            <w:pPr>
              <w:pStyle w:val="CETBodytext"/>
              <w:ind w:right="-1"/>
            </w:pPr>
            <w:r w:rsidRPr="008C2A9A">
              <w:t>5.8</w:t>
            </w:r>
          </w:p>
        </w:tc>
        <w:tc>
          <w:tcPr>
            <w:tcW w:w="567" w:type="dxa"/>
            <w:shd w:val="clear" w:color="auto" w:fill="FFFFFF"/>
            <w:vAlign w:val="center"/>
          </w:tcPr>
          <w:p w14:paraId="0ABDCD03" w14:textId="77777777" w:rsidR="00066427" w:rsidRPr="008C2A9A" w:rsidRDefault="00066427" w:rsidP="00D945A5">
            <w:pPr>
              <w:pStyle w:val="CETBodytext"/>
              <w:ind w:right="-1"/>
            </w:pPr>
            <w:r w:rsidRPr="008C2A9A">
              <w:t>1.6</w:t>
            </w:r>
          </w:p>
        </w:tc>
        <w:tc>
          <w:tcPr>
            <w:tcW w:w="709" w:type="dxa"/>
            <w:shd w:val="clear" w:color="auto" w:fill="FFFFFF"/>
            <w:vAlign w:val="center"/>
          </w:tcPr>
          <w:p w14:paraId="2E6EAC01" w14:textId="77777777" w:rsidR="00066427" w:rsidRPr="008C2A9A" w:rsidRDefault="00066427" w:rsidP="00D945A5">
            <w:pPr>
              <w:pStyle w:val="CETBodytext"/>
              <w:ind w:right="-1"/>
            </w:pPr>
            <w:r w:rsidRPr="008C2A9A">
              <w:t>0.2</w:t>
            </w:r>
          </w:p>
        </w:tc>
        <w:tc>
          <w:tcPr>
            <w:tcW w:w="850" w:type="dxa"/>
            <w:shd w:val="clear" w:color="auto" w:fill="FFFFFF"/>
            <w:vAlign w:val="center"/>
          </w:tcPr>
          <w:p w14:paraId="66C979E1" w14:textId="77777777" w:rsidR="00066427" w:rsidRPr="008C2A9A" w:rsidRDefault="00066427" w:rsidP="00D945A5">
            <w:pPr>
              <w:pStyle w:val="CETBodytext"/>
              <w:ind w:right="-1"/>
            </w:pPr>
            <w:r w:rsidRPr="008C2A9A">
              <w:t>0.8</w:t>
            </w:r>
          </w:p>
        </w:tc>
        <w:tc>
          <w:tcPr>
            <w:tcW w:w="567" w:type="dxa"/>
            <w:shd w:val="clear" w:color="auto" w:fill="FFFFFF"/>
            <w:vAlign w:val="center"/>
          </w:tcPr>
          <w:p w14:paraId="5A558C92" w14:textId="77777777" w:rsidR="00066427" w:rsidRPr="008C2A9A" w:rsidRDefault="00066427" w:rsidP="00D945A5">
            <w:pPr>
              <w:pStyle w:val="CETBodytext"/>
              <w:ind w:right="-1"/>
            </w:pPr>
            <w:r w:rsidRPr="008C2A9A">
              <w:t>0.2</w:t>
            </w:r>
          </w:p>
        </w:tc>
        <w:tc>
          <w:tcPr>
            <w:tcW w:w="709" w:type="dxa"/>
            <w:shd w:val="clear" w:color="auto" w:fill="FFFFFF"/>
            <w:vAlign w:val="center"/>
          </w:tcPr>
          <w:p w14:paraId="1EFEA318" w14:textId="77777777" w:rsidR="00066427" w:rsidRPr="008C2A9A" w:rsidRDefault="00066427" w:rsidP="00D945A5">
            <w:pPr>
              <w:pStyle w:val="CETBodytext"/>
              <w:ind w:right="-1"/>
            </w:pPr>
            <w:r w:rsidRPr="008C2A9A">
              <w:t>13.2</w:t>
            </w:r>
          </w:p>
        </w:tc>
        <w:tc>
          <w:tcPr>
            <w:tcW w:w="707" w:type="dxa"/>
            <w:shd w:val="clear" w:color="auto" w:fill="FFFFFF"/>
            <w:vAlign w:val="center"/>
          </w:tcPr>
          <w:p w14:paraId="29C39255" w14:textId="77777777" w:rsidR="00066427" w:rsidRPr="008C2A9A" w:rsidRDefault="00066427" w:rsidP="00D945A5">
            <w:pPr>
              <w:pStyle w:val="CETBodytext"/>
              <w:ind w:right="-1"/>
            </w:pPr>
            <w:r w:rsidRPr="008C2A9A">
              <w:t>357</w:t>
            </w:r>
          </w:p>
        </w:tc>
      </w:tr>
      <w:tr w:rsidR="00066427" w:rsidRPr="00B57B36" w14:paraId="008FE564" w14:textId="77777777" w:rsidTr="00D945A5">
        <w:tc>
          <w:tcPr>
            <w:tcW w:w="2127" w:type="dxa"/>
            <w:shd w:val="clear" w:color="auto" w:fill="FFFFFF"/>
          </w:tcPr>
          <w:p w14:paraId="5810070B" w14:textId="77777777" w:rsidR="00066427" w:rsidRPr="00B57B36" w:rsidRDefault="00066427" w:rsidP="00D945A5">
            <w:pPr>
              <w:pStyle w:val="CETBodytext"/>
              <w:ind w:right="-1"/>
              <w:jc w:val="left"/>
              <w:rPr>
                <w:rFonts w:cs="Arial"/>
                <w:szCs w:val="18"/>
                <w:lang w:val="en-GB"/>
              </w:rPr>
            </w:pPr>
            <w:r>
              <w:rPr>
                <w:rFonts w:cs="Arial"/>
                <w:szCs w:val="18"/>
                <w:lang w:val="en-GB"/>
              </w:rPr>
              <w:t>Prim. settler carbon filter</w:t>
            </w:r>
          </w:p>
        </w:tc>
        <w:tc>
          <w:tcPr>
            <w:tcW w:w="567" w:type="dxa"/>
            <w:shd w:val="clear" w:color="auto" w:fill="FFFFFF"/>
            <w:vAlign w:val="center"/>
          </w:tcPr>
          <w:p w14:paraId="79EB2488" w14:textId="77777777" w:rsidR="00066427" w:rsidRPr="008C2A9A" w:rsidRDefault="00066427" w:rsidP="00D945A5">
            <w:pPr>
              <w:pStyle w:val="CETBodytext"/>
              <w:ind w:right="-1"/>
            </w:pPr>
            <w:r w:rsidRPr="008C2A9A">
              <w:t>4.0</w:t>
            </w:r>
          </w:p>
        </w:tc>
        <w:tc>
          <w:tcPr>
            <w:tcW w:w="708" w:type="dxa"/>
            <w:shd w:val="clear" w:color="auto" w:fill="FFFFFF"/>
            <w:vAlign w:val="center"/>
          </w:tcPr>
          <w:p w14:paraId="4CE5790E" w14:textId="77777777" w:rsidR="00066427" w:rsidRPr="008C2A9A" w:rsidRDefault="00066427" w:rsidP="00D945A5">
            <w:pPr>
              <w:pStyle w:val="CETBodytext"/>
              <w:ind w:right="-1"/>
            </w:pPr>
            <w:r w:rsidRPr="008C2A9A">
              <w:t>0.3</w:t>
            </w:r>
          </w:p>
        </w:tc>
        <w:tc>
          <w:tcPr>
            <w:tcW w:w="567" w:type="dxa"/>
            <w:shd w:val="clear" w:color="auto" w:fill="FFFFFF"/>
            <w:vAlign w:val="center"/>
          </w:tcPr>
          <w:p w14:paraId="1A61ED79" w14:textId="77777777" w:rsidR="00066427" w:rsidRPr="008C2A9A" w:rsidRDefault="00066427" w:rsidP="00D945A5">
            <w:pPr>
              <w:pStyle w:val="CETBodytext"/>
              <w:ind w:right="-1"/>
            </w:pPr>
            <w:r w:rsidRPr="008C2A9A">
              <w:t>25.5</w:t>
            </w:r>
          </w:p>
        </w:tc>
        <w:tc>
          <w:tcPr>
            <w:tcW w:w="709" w:type="dxa"/>
            <w:shd w:val="clear" w:color="auto" w:fill="FFFFFF"/>
            <w:vAlign w:val="center"/>
          </w:tcPr>
          <w:p w14:paraId="39DFF733" w14:textId="77777777" w:rsidR="00066427" w:rsidRPr="008C2A9A" w:rsidRDefault="00066427" w:rsidP="00D945A5">
            <w:pPr>
              <w:pStyle w:val="CETBodytext"/>
              <w:ind w:right="-1"/>
            </w:pPr>
            <w:r w:rsidRPr="008C2A9A">
              <w:t>683.4</w:t>
            </w:r>
          </w:p>
        </w:tc>
        <w:tc>
          <w:tcPr>
            <w:tcW w:w="567" w:type="dxa"/>
            <w:shd w:val="clear" w:color="auto" w:fill="FFFFFF"/>
            <w:vAlign w:val="center"/>
          </w:tcPr>
          <w:p w14:paraId="601B3ADD" w14:textId="77777777" w:rsidR="00066427" w:rsidRPr="008C2A9A" w:rsidRDefault="00066427" w:rsidP="00D945A5">
            <w:pPr>
              <w:pStyle w:val="CETBodytext"/>
              <w:ind w:right="-1"/>
            </w:pPr>
            <w:r w:rsidRPr="008C2A9A">
              <w:t>10.0</w:t>
            </w:r>
          </w:p>
        </w:tc>
        <w:tc>
          <w:tcPr>
            <w:tcW w:w="709" w:type="dxa"/>
            <w:shd w:val="clear" w:color="auto" w:fill="FFFFFF"/>
            <w:vAlign w:val="center"/>
          </w:tcPr>
          <w:p w14:paraId="0FAE1A3D" w14:textId="77777777" w:rsidR="00066427" w:rsidRPr="008C2A9A" w:rsidRDefault="00066427" w:rsidP="00D945A5">
            <w:pPr>
              <w:pStyle w:val="CETBodytext"/>
              <w:ind w:right="-1"/>
            </w:pPr>
            <w:r w:rsidRPr="008C2A9A">
              <w:t>0.0</w:t>
            </w:r>
          </w:p>
        </w:tc>
        <w:tc>
          <w:tcPr>
            <w:tcW w:w="850" w:type="dxa"/>
            <w:shd w:val="clear" w:color="auto" w:fill="FFFFFF"/>
            <w:vAlign w:val="center"/>
          </w:tcPr>
          <w:p w14:paraId="2531437E" w14:textId="77777777" w:rsidR="00066427" w:rsidRPr="008C2A9A" w:rsidRDefault="00066427" w:rsidP="00D945A5">
            <w:pPr>
              <w:pStyle w:val="CETBodytext"/>
              <w:ind w:right="-1"/>
            </w:pPr>
            <w:r w:rsidRPr="008C2A9A">
              <w:t>0.3</w:t>
            </w:r>
          </w:p>
        </w:tc>
        <w:tc>
          <w:tcPr>
            <w:tcW w:w="567" w:type="dxa"/>
            <w:shd w:val="clear" w:color="auto" w:fill="FFFFFF"/>
            <w:vAlign w:val="center"/>
          </w:tcPr>
          <w:p w14:paraId="6DF70E7D" w14:textId="77777777" w:rsidR="00066427" w:rsidRPr="008C2A9A" w:rsidRDefault="00066427" w:rsidP="00D945A5">
            <w:pPr>
              <w:pStyle w:val="CETBodytext"/>
              <w:ind w:right="-1"/>
            </w:pPr>
            <w:r w:rsidRPr="008C2A9A">
              <w:t>0.5</w:t>
            </w:r>
          </w:p>
        </w:tc>
        <w:tc>
          <w:tcPr>
            <w:tcW w:w="709" w:type="dxa"/>
            <w:shd w:val="clear" w:color="auto" w:fill="FFFFFF"/>
            <w:vAlign w:val="center"/>
          </w:tcPr>
          <w:p w14:paraId="39F3C9D2" w14:textId="77777777" w:rsidR="00066427" w:rsidRPr="008C2A9A" w:rsidRDefault="00066427" w:rsidP="00D945A5">
            <w:pPr>
              <w:pStyle w:val="CETBodytext"/>
              <w:ind w:right="-1"/>
            </w:pPr>
            <w:r w:rsidRPr="008C2A9A">
              <w:t>36.4</w:t>
            </w:r>
          </w:p>
        </w:tc>
        <w:tc>
          <w:tcPr>
            <w:tcW w:w="707" w:type="dxa"/>
            <w:shd w:val="clear" w:color="auto" w:fill="FFFFFF"/>
            <w:vAlign w:val="center"/>
          </w:tcPr>
          <w:p w14:paraId="5892533B" w14:textId="77777777" w:rsidR="00066427" w:rsidRPr="008C2A9A" w:rsidRDefault="00066427" w:rsidP="00D945A5">
            <w:pPr>
              <w:pStyle w:val="CETBodytext"/>
              <w:ind w:right="-1"/>
            </w:pPr>
            <w:r w:rsidRPr="008C2A9A">
              <w:t>2</w:t>
            </w:r>
            <w:r>
              <w:t>,</w:t>
            </w:r>
            <w:r w:rsidRPr="008C2A9A">
              <w:t>500</w:t>
            </w:r>
          </w:p>
        </w:tc>
      </w:tr>
      <w:tr w:rsidR="00066427" w:rsidRPr="00B57B36" w14:paraId="36F5176B" w14:textId="77777777" w:rsidTr="00D945A5">
        <w:tc>
          <w:tcPr>
            <w:tcW w:w="2127" w:type="dxa"/>
            <w:shd w:val="clear" w:color="auto" w:fill="FFFFFF"/>
          </w:tcPr>
          <w:p w14:paraId="2B5FD079" w14:textId="77777777" w:rsidR="00066427" w:rsidRPr="00B57B36" w:rsidRDefault="00066427" w:rsidP="00D945A5">
            <w:pPr>
              <w:pStyle w:val="CETBodytext"/>
              <w:ind w:right="-1"/>
              <w:jc w:val="left"/>
              <w:rPr>
                <w:rFonts w:cs="Arial"/>
                <w:szCs w:val="18"/>
                <w:lang w:val="en-GB"/>
              </w:rPr>
            </w:pPr>
            <w:r>
              <w:rPr>
                <w:rFonts w:cs="Arial"/>
                <w:szCs w:val="18"/>
                <w:lang w:val="en-GB"/>
              </w:rPr>
              <w:t>Biologic treatment</w:t>
            </w:r>
          </w:p>
        </w:tc>
        <w:tc>
          <w:tcPr>
            <w:tcW w:w="567" w:type="dxa"/>
            <w:shd w:val="clear" w:color="auto" w:fill="FFFFFF"/>
            <w:vAlign w:val="center"/>
          </w:tcPr>
          <w:p w14:paraId="15CD6CB4" w14:textId="77777777" w:rsidR="00066427" w:rsidRPr="008C2A9A" w:rsidRDefault="00066427" w:rsidP="00D945A5">
            <w:pPr>
              <w:pStyle w:val="CETBodytext"/>
              <w:ind w:right="-1"/>
            </w:pPr>
            <w:r w:rsidRPr="008C2A9A">
              <w:t>1.2</w:t>
            </w:r>
          </w:p>
        </w:tc>
        <w:tc>
          <w:tcPr>
            <w:tcW w:w="708" w:type="dxa"/>
            <w:shd w:val="clear" w:color="auto" w:fill="FFFFFF"/>
            <w:vAlign w:val="center"/>
          </w:tcPr>
          <w:p w14:paraId="04D003F5" w14:textId="77777777" w:rsidR="00066427" w:rsidRPr="008C2A9A" w:rsidRDefault="00066427" w:rsidP="00D945A5">
            <w:pPr>
              <w:pStyle w:val="CETBodytext"/>
              <w:ind w:right="-1"/>
            </w:pPr>
            <w:r w:rsidRPr="008C2A9A">
              <w:t>0.8</w:t>
            </w:r>
          </w:p>
        </w:tc>
        <w:tc>
          <w:tcPr>
            <w:tcW w:w="567" w:type="dxa"/>
            <w:shd w:val="clear" w:color="auto" w:fill="FFFFFF"/>
            <w:vAlign w:val="center"/>
          </w:tcPr>
          <w:p w14:paraId="3B347F92" w14:textId="77777777" w:rsidR="00066427" w:rsidRPr="008C2A9A" w:rsidRDefault="00066427" w:rsidP="00D945A5">
            <w:pPr>
              <w:pStyle w:val="CETBodytext"/>
              <w:ind w:right="-1"/>
            </w:pPr>
            <w:r w:rsidRPr="008C2A9A">
              <w:t>1.5</w:t>
            </w:r>
          </w:p>
        </w:tc>
        <w:tc>
          <w:tcPr>
            <w:tcW w:w="709" w:type="dxa"/>
            <w:shd w:val="clear" w:color="auto" w:fill="FFFFFF"/>
            <w:vAlign w:val="center"/>
          </w:tcPr>
          <w:p w14:paraId="680ED0A7" w14:textId="77777777" w:rsidR="00066427" w:rsidRPr="008C2A9A" w:rsidRDefault="00066427" w:rsidP="00D945A5">
            <w:pPr>
              <w:pStyle w:val="CETBodytext"/>
              <w:ind w:right="-1"/>
            </w:pPr>
            <w:r w:rsidRPr="008C2A9A">
              <w:t>32.4</w:t>
            </w:r>
          </w:p>
        </w:tc>
        <w:tc>
          <w:tcPr>
            <w:tcW w:w="567" w:type="dxa"/>
            <w:shd w:val="clear" w:color="auto" w:fill="FFFFFF"/>
            <w:vAlign w:val="center"/>
          </w:tcPr>
          <w:p w14:paraId="1B677947" w14:textId="77777777" w:rsidR="00066427" w:rsidRPr="008C2A9A" w:rsidRDefault="00066427" w:rsidP="00D945A5">
            <w:pPr>
              <w:pStyle w:val="CETBodytext"/>
              <w:ind w:right="-1"/>
            </w:pPr>
            <w:r w:rsidRPr="008C2A9A">
              <w:t>42.7</w:t>
            </w:r>
          </w:p>
        </w:tc>
        <w:tc>
          <w:tcPr>
            <w:tcW w:w="709" w:type="dxa"/>
            <w:shd w:val="clear" w:color="auto" w:fill="FFFFFF"/>
            <w:vAlign w:val="center"/>
          </w:tcPr>
          <w:p w14:paraId="6BA44DC4" w14:textId="77777777" w:rsidR="00066427" w:rsidRPr="008C2A9A" w:rsidRDefault="00066427" w:rsidP="00D945A5">
            <w:pPr>
              <w:pStyle w:val="CETBodytext"/>
              <w:ind w:right="-1"/>
            </w:pPr>
            <w:r w:rsidRPr="008C2A9A">
              <w:t>0.0</w:t>
            </w:r>
          </w:p>
        </w:tc>
        <w:tc>
          <w:tcPr>
            <w:tcW w:w="850" w:type="dxa"/>
            <w:shd w:val="clear" w:color="auto" w:fill="FFFFFF"/>
            <w:vAlign w:val="center"/>
          </w:tcPr>
          <w:p w14:paraId="19484228" w14:textId="77777777" w:rsidR="00066427" w:rsidRPr="008C2A9A" w:rsidRDefault="00066427" w:rsidP="00D945A5">
            <w:pPr>
              <w:pStyle w:val="CETBodytext"/>
              <w:ind w:right="-1"/>
            </w:pPr>
            <w:r w:rsidRPr="008C2A9A">
              <w:t>0.5</w:t>
            </w:r>
          </w:p>
        </w:tc>
        <w:tc>
          <w:tcPr>
            <w:tcW w:w="567" w:type="dxa"/>
            <w:shd w:val="clear" w:color="auto" w:fill="FFFFFF"/>
            <w:vAlign w:val="center"/>
          </w:tcPr>
          <w:p w14:paraId="041EA604" w14:textId="77777777" w:rsidR="00066427" w:rsidRPr="008C2A9A" w:rsidRDefault="00066427" w:rsidP="00D945A5">
            <w:pPr>
              <w:pStyle w:val="CETBodytext"/>
              <w:ind w:right="-1"/>
            </w:pPr>
            <w:r w:rsidRPr="008C2A9A">
              <w:t>0.4</w:t>
            </w:r>
          </w:p>
        </w:tc>
        <w:tc>
          <w:tcPr>
            <w:tcW w:w="709" w:type="dxa"/>
            <w:shd w:val="clear" w:color="auto" w:fill="FFFFFF"/>
            <w:vAlign w:val="center"/>
          </w:tcPr>
          <w:p w14:paraId="26D3A4BF" w14:textId="77777777" w:rsidR="00066427" w:rsidRPr="008C2A9A" w:rsidRDefault="00066427" w:rsidP="00D945A5">
            <w:pPr>
              <w:pStyle w:val="CETBodytext"/>
              <w:ind w:right="-1"/>
            </w:pPr>
            <w:r w:rsidRPr="008C2A9A">
              <w:t>2.6</w:t>
            </w:r>
          </w:p>
        </w:tc>
        <w:tc>
          <w:tcPr>
            <w:tcW w:w="707" w:type="dxa"/>
            <w:shd w:val="clear" w:color="auto" w:fill="FFFFFF"/>
            <w:vAlign w:val="center"/>
          </w:tcPr>
          <w:p w14:paraId="2063FD31" w14:textId="77777777" w:rsidR="00066427" w:rsidRPr="008C2A9A" w:rsidRDefault="00066427" w:rsidP="00D945A5">
            <w:pPr>
              <w:pStyle w:val="CETBodytext"/>
              <w:ind w:right="-1"/>
            </w:pPr>
            <w:r w:rsidRPr="008C2A9A">
              <w:t>4</w:t>
            </w:r>
            <w:r>
              <w:t>,</w:t>
            </w:r>
            <w:r w:rsidRPr="008C2A9A">
              <w:t>554</w:t>
            </w:r>
          </w:p>
        </w:tc>
      </w:tr>
      <w:tr w:rsidR="00066427" w:rsidRPr="00B57B36" w14:paraId="1990ADDB" w14:textId="77777777" w:rsidTr="00D945A5">
        <w:tc>
          <w:tcPr>
            <w:tcW w:w="2127" w:type="dxa"/>
            <w:shd w:val="clear" w:color="auto" w:fill="FFFFFF"/>
          </w:tcPr>
          <w:p w14:paraId="73903CCF" w14:textId="77777777" w:rsidR="00066427" w:rsidRPr="00B57B36" w:rsidRDefault="00066427" w:rsidP="00D945A5">
            <w:pPr>
              <w:pStyle w:val="CETBodytext"/>
              <w:ind w:right="-1"/>
              <w:jc w:val="left"/>
              <w:rPr>
                <w:rFonts w:cs="Arial"/>
                <w:szCs w:val="18"/>
                <w:lang w:val="en-GB"/>
              </w:rPr>
            </w:pPr>
            <w:r>
              <w:rPr>
                <w:rFonts w:cs="Arial"/>
                <w:szCs w:val="18"/>
                <w:lang w:val="en-GB"/>
              </w:rPr>
              <w:t>Sludge scrubber</w:t>
            </w:r>
          </w:p>
        </w:tc>
        <w:tc>
          <w:tcPr>
            <w:tcW w:w="567" w:type="dxa"/>
            <w:shd w:val="clear" w:color="auto" w:fill="FFFFFF"/>
            <w:vAlign w:val="center"/>
          </w:tcPr>
          <w:p w14:paraId="7F79C256" w14:textId="77777777" w:rsidR="00066427" w:rsidRPr="008C2A9A" w:rsidRDefault="00066427" w:rsidP="00D945A5">
            <w:pPr>
              <w:pStyle w:val="CETBodytext"/>
              <w:ind w:right="-1"/>
            </w:pPr>
            <w:r w:rsidRPr="008C2A9A">
              <w:t>7.8</w:t>
            </w:r>
          </w:p>
        </w:tc>
        <w:tc>
          <w:tcPr>
            <w:tcW w:w="708" w:type="dxa"/>
            <w:shd w:val="clear" w:color="auto" w:fill="FFFFFF"/>
            <w:vAlign w:val="center"/>
          </w:tcPr>
          <w:p w14:paraId="7D21683B" w14:textId="77777777" w:rsidR="00066427" w:rsidRPr="008C2A9A" w:rsidRDefault="00066427" w:rsidP="00D945A5">
            <w:pPr>
              <w:pStyle w:val="CETBodytext"/>
              <w:ind w:right="-1"/>
            </w:pPr>
            <w:r w:rsidRPr="008C2A9A">
              <w:t>0.8</w:t>
            </w:r>
          </w:p>
        </w:tc>
        <w:tc>
          <w:tcPr>
            <w:tcW w:w="567" w:type="dxa"/>
            <w:shd w:val="clear" w:color="auto" w:fill="FFFFFF"/>
            <w:vAlign w:val="center"/>
          </w:tcPr>
          <w:p w14:paraId="05A89D8B" w14:textId="77777777" w:rsidR="00066427" w:rsidRPr="008C2A9A" w:rsidRDefault="00066427" w:rsidP="00D945A5">
            <w:pPr>
              <w:pStyle w:val="CETBodytext"/>
              <w:ind w:right="-1"/>
            </w:pPr>
            <w:r w:rsidRPr="008C2A9A">
              <w:t>0.4</w:t>
            </w:r>
          </w:p>
        </w:tc>
        <w:tc>
          <w:tcPr>
            <w:tcW w:w="709" w:type="dxa"/>
            <w:shd w:val="clear" w:color="auto" w:fill="FFFFFF"/>
            <w:vAlign w:val="center"/>
          </w:tcPr>
          <w:p w14:paraId="30B08596" w14:textId="77777777" w:rsidR="00066427" w:rsidRPr="008C2A9A" w:rsidRDefault="00066427" w:rsidP="00D945A5">
            <w:pPr>
              <w:pStyle w:val="CETBodytext"/>
              <w:ind w:right="-1"/>
            </w:pPr>
            <w:r w:rsidRPr="008C2A9A">
              <w:t>26.2</w:t>
            </w:r>
          </w:p>
        </w:tc>
        <w:tc>
          <w:tcPr>
            <w:tcW w:w="567" w:type="dxa"/>
            <w:shd w:val="clear" w:color="auto" w:fill="FFFFFF"/>
            <w:vAlign w:val="center"/>
          </w:tcPr>
          <w:p w14:paraId="7F0185C8" w14:textId="77777777" w:rsidR="00066427" w:rsidRPr="008C2A9A" w:rsidRDefault="00066427" w:rsidP="00D945A5">
            <w:pPr>
              <w:pStyle w:val="CETBodytext"/>
              <w:ind w:right="-1"/>
            </w:pPr>
            <w:r w:rsidRPr="008C2A9A">
              <w:t>0.1</w:t>
            </w:r>
          </w:p>
        </w:tc>
        <w:tc>
          <w:tcPr>
            <w:tcW w:w="709" w:type="dxa"/>
            <w:shd w:val="clear" w:color="auto" w:fill="FFFFFF"/>
            <w:vAlign w:val="center"/>
          </w:tcPr>
          <w:p w14:paraId="787655FE" w14:textId="77777777" w:rsidR="00066427" w:rsidRPr="008C2A9A" w:rsidRDefault="00066427" w:rsidP="00D945A5">
            <w:pPr>
              <w:pStyle w:val="CETBodytext"/>
              <w:ind w:right="-1"/>
            </w:pPr>
            <w:r w:rsidRPr="008C2A9A">
              <w:t>0.0</w:t>
            </w:r>
          </w:p>
        </w:tc>
        <w:tc>
          <w:tcPr>
            <w:tcW w:w="850" w:type="dxa"/>
            <w:shd w:val="clear" w:color="auto" w:fill="FFFFFF"/>
            <w:vAlign w:val="center"/>
          </w:tcPr>
          <w:p w14:paraId="6ECDF9B7" w14:textId="77777777" w:rsidR="00066427" w:rsidRPr="008C2A9A" w:rsidRDefault="00066427" w:rsidP="00D945A5">
            <w:pPr>
              <w:pStyle w:val="CETBodytext"/>
              <w:ind w:right="-1"/>
            </w:pPr>
            <w:r w:rsidRPr="008C2A9A">
              <w:t>0.3</w:t>
            </w:r>
          </w:p>
        </w:tc>
        <w:tc>
          <w:tcPr>
            <w:tcW w:w="567" w:type="dxa"/>
            <w:shd w:val="clear" w:color="auto" w:fill="FFFFFF"/>
            <w:vAlign w:val="center"/>
          </w:tcPr>
          <w:p w14:paraId="6EF1D8D7" w14:textId="77777777" w:rsidR="00066427" w:rsidRPr="008C2A9A" w:rsidRDefault="00066427" w:rsidP="00D945A5">
            <w:pPr>
              <w:pStyle w:val="CETBodytext"/>
              <w:ind w:right="-1"/>
            </w:pPr>
            <w:r w:rsidRPr="008C2A9A">
              <w:t>2.8</w:t>
            </w:r>
          </w:p>
        </w:tc>
        <w:tc>
          <w:tcPr>
            <w:tcW w:w="709" w:type="dxa"/>
            <w:shd w:val="clear" w:color="auto" w:fill="FFFFFF"/>
            <w:vAlign w:val="center"/>
          </w:tcPr>
          <w:p w14:paraId="4F189795" w14:textId="77777777" w:rsidR="00066427" w:rsidRPr="008C2A9A" w:rsidRDefault="00066427" w:rsidP="00D945A5">
            <w:pPr>
              <w:pStyle w:val="CETBodytext"/>
              <w:ind w:right="-1"/>
            </w:pPr>
            <w:r w:rsidRPr="008C2A9A">
              <w:t>11.6</w:t>
            </w:r>
          </w:p>
        </w:tc>
        <w:tc>
          <w:tcPr>
            <w:tcW w:w="707" w:type="dxa"/>
            <w:shd w:val="clear" w:color="auto" w:fill="FFFFFF"/>
            <w:vAlign w:val="center"/>
          </w:tcPr>
          <w:p w14:paraId="7D7C031F" w14:textId="77777777" w:rsidR="00066427" w:rsidRPr="008C2A9A" w:rsidRDefault="00066427" w:rsidP="00D945A5">
            <w:pPr>
              <w:pStyle w:val="CETBodytext"/>
              <w:ind w:right="-1"/>
            </w:pPr>
            <w:r w:rsidRPr="008C2A9A">
              <w:t>316</w:t>
            </w:r>
          </w:p>
        </w:tc>
      </w:tr>
    </w:tbl>
    <w:p w14:paraId="5E6A6C1F" w14:textId="77777777" w:rsidR="00066427" w:rsidRDefault="00066427" w:rsidP="00066427">
      <w:pPr>
        <w:pStyle w:val="CETBodytext"/>
        <w:jc w:val="left"/>
        <w:rPr>
          <w:lang w:val="en-GB"/>
        </w:rPr>
      </w:pPr>
    </w:p>
    <w:p w14:paraId="3F5EE159" w14:textId="47EF955B" w:rsidR="001E3155" w:rsidRPr="001E3155" w:rsidRDefault="001E3155" w:rsidP="00B274E7">
      <w:pPr>
        <w:pStyle w:val="CETBodytext"/>
        <w:rPr>
          <w:lang w:val="en-GB"/>
        </w:rPr>
      </w:pPr>
    </w:p>
    <w:p w14:paraId="4D403967" w14:textId="49D057DB" w:rsidR="000F7146" w:rsidRPr="00B57B36" w:rsidRDefault="000F7146" w:rsidP="00396C7D">
      <w:pPr>
        <w:pStyle w:val="CETBodytext"/>
        <w:jc w:val="left"/>
        <w:rPr>
          <w:lang w:val="en-GB"/>
        </w:rPr>
      </w:pPr>
      <w:r>
        <w:rPr>
          <w:noProof/>
          <w:lang w:val="en-GB"/>
        </w:rPr>
        <w:lastRenderedPageBreak/>
        <w:drawing>
          <wp:inline distT="0" distB="0" distL="0" distR="0" wp14:anchorId="73544CE8" wp14:editId="1770B158">
            <wp:extent cx="4163841" cy="2520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2959"/>
                    <a:stretch/>
                  </pic:blipFill>
                  <pic:spPr bwMode="auto">
                    <a:xfrm>
                      <a:off x="0" y="0"/>
                      <a:ext cx="4163841"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9C03886" w14:textId="2AA1028F" w:rsidR="00E644BD" w:rsidRPr="00B57B36" w:rsidRDefault="00396C7D" w:rsidP="00A1202E">
      <w:pPr>
        <w:pStyle w:val="CETCaption"/>
      </w:pPr>
      <w:r w:rsidRPr="000F7146">
        <w:t xml:space="preserve">Figure 1: </w:t>
      </w:r>
      <w:r w:rsidR="000F7146" w:rsidRPr="000F7146">
        <w:t xml:space="preserve">Average September-October 2021 </w:t>
      </w:r>
      <w:r w:rsidR="002473D0" w:rsidRPr="000F7146">
        <w:t>Vigi eNose</w:t>
      </w:r>
      <w:r w:rsidR="002473D0" w:rsidRPr="008C1A01">
        <w:rPr>
          <w:vertAlign w:val="superscript"/>
        </w:rPr>
        <w:t>®</w:t>
      </w:r>
      <w:r w:rsidR="002473D0">
        <w:t xml:space="preserve"> analyses of </w:t>
      </w:r>
      <w:r w:rsidR="000F7146" w:rsidRPr="000F7146">
        <w:t>VSC</w:t>
      </w:r>
      <w:r w:rsidR="002473D0">
        <w:t xml:space="preserve"> in</w:t>
      </w:r>
      <w:r w:rsidR="000F7146" w:rsidRPr="000F7146">
        <w:t xml:space="preserve"> 5 emission sources </w:t>
      </w:r>
    </w:p>
    <w:p w14:paraId="0A5A4BE5" w14:textId="77777777" w:rsidR="008C1A01" w:rsidRDefault="008C1A01" w:rsidP="00A40266">
      <w:pPr>
        <w:pStyle w:val="CETBodytext"/>
        <w:rPr>
          <w:lang w:val="en-GB"/>
        </w:rPr>
      </w:pPr>
      <w:r w:rsidRPr="008C1A01">
        <w:rPr>
          <w:lang w:val="en-GB"/>
        </w:rPr>
        <w:t>Figure 2a shows a comparison between the average results of the Primary settler’s carbon filter. In the case of the biologic treatment, there is a significant agreement between the Methyl Mercaptan concentrations and the calculated S-OI values, which indicates that this may be the main odorant in this source. In the case of the Primary Settler’s carbon filter outlet, however, the results show that the odour emissions may be attributed to DMDS. Figure 2b is a comparison between the H</w:t>
      </w:r>
      <w:r w:rsidRPr="008C1A01">
        <w:rPr>
          <w:vertAlign w:val="subscript"/>
          <w:lang w:val="en-GB"/>
        </w:rPr>
        <w:t>2</w:t>
      </w:r>
      <w:r w:rsidRPr="008C1A01">
        <w:rPr>
          <w:lang w:val="en-GB"/>
        </w:rPr>
        <w:t>S and Methyl Mercaptan results of 2 days of Vigi eNose</w:t>
      </w:r>
      <w:r w:rsidRPr="008C1A01">
        <w:rPr>
          <w:vertAlign w:val="superscript"/>
          <w:lang w:val="en-GB"/>
        </w:rPr>
        <w:t>®</w:t>
      </w:r>
      <w:r w:rsidRPr="008C1A01">
        <w:rPr>
          <w:lang w:val="en-GB"/>
        </w:rPr>
        <w:t xml:space="preserve"> analyses of the Primary settler’s carbon filter outlet and the Biological Reactor. While in the case of the primary settler carbon filter outlet both analytes follow the same trend, in the case of the Biological Reactor the H</w:t>
      </w:r>
      <w:r w:rsidRPr="008C1A01">
        <w:rPr>
          <w:vertAlign w:val="subscript"/>
          <w:lang w:val="en-GB"/>
        </w:rPr>
        <w:t>2</w:t>
      </w:r>
      <w:r w:rsidRPr="008C1A01">
        <w:rPr>
          <w:lang w:val="en-GB"/>
        </w:rPr>
        <w:t>S and Methyl Mercaptan concentrations present opposite behaviours.</w:t>
      </w:r>
    </w:p>
    <w:p w14:paraId="042B972F" w14:textId="7A2596F8" w:rsidR="00070C59" w:rsidRDefault="00084040" w:rsidP="00070C59">
      <w:pPr>
        <w:pStyle w:val="CETCaption"/>
      </w:pPr>
      <w:r>
        <w:rPr>
          <w:noProof/>
        </w:rPr>
        <w:drawing>
          <wp:inline distT="0" distB="0" distL="0" distR="0" wp14:anchorId="5D2842C0" wp14:editId="71070731">
            <wp:extent cx="5400000" cy="344273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442737"/>
                    </a:xfrm>
                    <a:prstGeom prst="rect">
                      <a:avLst/>
                    </a:prstGeom>
                    <a:noFill/>
                  </pic:spPr>
                </pic:pic>
              </a:graphicData>
            </a:graphic>
          </wp:inline>
        </w:drawing>
      </w:r>
    </w:p>
    <w:p w14:paraId="57825619" w14:textId="464D312A" w:rsidR="00160010" w:rsidRPr="00160010" w:rsidRDefault="008C1A01" w:rsidP="00F45EF1">
      <w:pPr>
        <w:pStyle w:val="CETCaption"/>
      </w:pPr>
      <w:r w:rsidRPr="008C1A01">
        <w:t>Figure 2a (Above): Comparison of average September-October 2021 Vigi eNose</w:t>
      </w:r>
      <w:r w:rsidRPr="008C1A01">
        <w:rPr>
          <w:vertAlign w:val="superscript"/>
        </w:rPr>
        <w:t>®</w:t>
      </w:r>
      <w:r w:rsidRPr="008C1A01">
        <w:t xml:space="preserve"> results. Left: </w:t>
      </w:r>
      <w:r w:rsidR="00084040" w:rsidRPr="008C1A01">
        <w:t>Primary settler carbon filter outlet, DMDS vs S-OI</w:t>
      </w:r>
      <w:r w:rsidRPr="008C1A01">
        <w:t>; Right</w:t>
      </w:r>
      <w:r w:rsidR="00084040">
        <w:t>:</w:t>
      </w:r>
      <w:r w:rsidR="00084040" w:rsidRPr="00084040">
        <w:t xml:space="preserve"> </w:t>
      </w:r>
      <w:r w:rsidR="00084040" w:rsidRPr="008C1A01">
        <w:t>Biological reactor, Methyl-SH vs S-OI</w:t>
      </w:r>
      <w:r w:rsidRPr="008C1A01">
        <w:t>. Figure 2b (below) Comparison of 2 days of Vigi eNose</w:t>
      </w:r>
      <w:r w:rsidRPr="008C1A01">
        <w:rPr>
          <w:vertAlign w:val="superscript"/>
        </w:rPr>
        <w:t>®</w:t>
      </w:r>
      <w:r w:rsidRPr="008C1A01">
        <w:t xml:space="preserve"> results for H</w:t>
      </w:r>
      <w:r w:rsidRPr="008C1A01">
        <w:rPr>
          <w:vertAlign w:val="subscript"/>
        </w:rPr>
        <w:t>2</w:t>
      </w:r>
      <w:r w:rsidRPr="008C1A01">
        <w:t>S (red) and Methyl-SH (blue). Left: Primary settler carbon filter outlet</w:t>
      </w:r>
      <w:r w:rsidR="00084040">
        <w:t>;</w:t>
      </w:r>
      <w:r w:rsidRPr="008C1A01">
        <w:t xml:space="preserve"> Right: Biologic</w:t>
      </w:r>
      <w:r w:rsidR="00084040">
        <w:t>al</w:t>
      </w:r>
      <w:r w:rsidRPr="008C1A01">
        <w:t xml:space="preserve"> </w:t>
      </w:r>
      <w:r w:rsidR="00084040">
        <w:t>Reactor</w:t>
      </w:r>
      <w:r w:rsidR="00F45EF1">
        <w:t>.</w:t>
      </w:r>
    </w:p>
    <w:p w14:paraId="7A474AAB" w14:textId="77777777" w:rsidR="00084040" w:rsidRDefault="008C1A01" w:rsidP="00084040">
      <w:pPr>
        <w:pStyle w:val="CETBodytext"/>
        <w:rPr>
          <w:lang w:val="en-GB"/>
        </w:rPr>
      </w:pPr>
      <w:r w:rsidRPr="008C1A01">
        <w:rPr>
          <w:lang w:val="en-GB"/>
        </w:rPr>
        <w:lastRenderedPageBreak/>
        <w:t>A summary of the results obtained during the 3 campaigns that took place in 2020, 2021 and 2022, respectively, are presented next in Table 3, which shows a comparison between the emission results obtained with the Vigi eNose</w:t>
      </w:r>
      <w:r w:rsidRPr="008C1A01">
        <w:rPr>
          <w:vertAlign w:val="superscript"/>
          <w:lang w:val="en-GB"/>
        </w:rPr>
        <w:t>®</w:t>
      </w:r>
      <w:r w:rsidRPr="008C1A01">
        <w:rPr>
          <w:lang w:val="en-GB"/>
        </w:rPr>
        <w:t xml:space="preserve"> system and the Jerome analyser. Duplicate samples were analysed for each source, and the average value is shown in the table. H</w:t>
      </w:r>
      <w:r w:rsidRPr="008C1A01">
        <w:rPr>
          <w:vertAlign w:val="subscript"/>
          <w:lang w:val="en-GB"/>
        </w:rPr>
        <w:t>2</w:t>
      </w:r>
      <w:r w:rsidRPr="008C1A01">
        <w:rPr>
          <w:lang w:val="en-GB"/>
        </w:rPr>
        <w:t xml:space="preserve">S and VSC Results (ppbv) were obtained by Vigi e-Nose® and Jerome Analyzer, and the Odour Concentration was determined </w:t>
      </w:r>
      <w:r w:rsidR="00084040" w:rsidRPr="00A40266">
        <w:rPr>
          <w:lang w:val="en-GB"/>
        </w:rPr>
        <w:t>Dynamic Olfactometry.</w:t>
      </w:r>
    </w:p>
    <w:p w14:paraId="1C088805" w14:textId="77777777" w:rsidR="00084040" w:rsidRDefault="00084040" w:rsidP="00084040">
      <w:pPr>
        <w:pStyle w:val="CETTabletitle"/>
      </w:pPr>
      <w:bookmarkStart w:id="0" w:name="_Hlk100765217"/>
      <w:r w:rsidRPr="008C2A9A">
        <w:t>Table 3: Results of the analyses of 5</w:t>
      </w:r>
      <w:r w:rsidRPr="001737C8">
        <w:t xml:space="preserve"> </w:t>
      </w:r>
      <w:r w:rsidRPr="008C2A9A">
        <w:t>emission sources</w:t>
      </w:r>
      <w:r>
        <w:t xml:space="preserve"> (ppbv)</w:t>
      </w:r>
      <w:r w:rsidRPr="008C2A9A">
        <w:t xml:space="preserve">. Average of 3 campaigns (2020-2022).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851"/>
        <w:gridCol w:w="1134"/>
        <w:gridCol w:w="708"/>
        <w:gridCol w:w="1134"/>
      </w:tblGrid>
      <w:tr w:rsidR="00084040" w14:paraId="7F169185" w14:textId="77777777" w:rsidTr="00D945A5">
        <w:tc>
          <w:tcPr>
            <w:tcW w:w="2977" w:type="dxa"/>
            <w:tcBorders>
              <w:top w:val="single" w:sz="12" w:space="0" w:color="008000"/>
              <w:left w:val="nil"/>
              <w:bottom w:val="single" w:sz="6" w:space="0" w:color="008000"/>
              <w:right w:val="nil"/>
            </w:tcBorders>
            <w:shd w:val="clear" w:color="auto" w:fill="FFFFFF"/>
            <w:hideMark/>
          </w:tcPr>
          <w:bookmarkEnd w:id="0"/>
          <w:p w14:paraId="0E56F213" w14:textId="77777777" w:rsidR="00084040" w:rsidRDefault="00084040" w:rsidP="00D945A5">
            <w:pPr>
              <w:pStyle w:val="CETBodytext"/>
              <w:rPr>
                <w:lang w:val="en-GB"/>
              </w:rPr>
            </w:pPr>
            <w:r w:rsidRPr="0063065F">
              <w:rPr>
                <w:lang w:val="en-GB"/>
              </w:rPr>
              <w:t>Source</w:t>
            </w:r>
          </w:p>
        </w:tc>
        <w:tc>
          <w:tcPr>
            <w:tcW w:w="851" w:type="dxa"/>
            <w:tcBorders>
              <w:top w:val="single" w:sz="12" w:space="0" w:color="008000"/>
              <w:left w:val="nil"/>
              <w:bottom w:val="single" w:sz="6" w:space="0" w:color="008000"/>
              <w:right w:val="nil"/>
            </w:tcBorders>
            <w:shd w:val="clear" w:color="auto" w:fill="FFFFFF"/>
            <w:hideMark/>
          </w:tcPr>
          <w:p w14:paraId="3891769B" w14:textId="77777777" w:rsidR="00084040" w:rsidRDefault="00084040" w:rsidP="00D945A5">
            <w:pPr>
              <w:pStyle w:val="CETBodytext"/>
              <w:jc w:val="left"/>
              <w:rPr>
                <w:lang w:val="en-GB"/>
              </w:rPr>
            </w:pPr>
            <w:r>
              <w:rPr>
                <w:lang w:val="en-GB"/>
              </w:rPr>
              <w:t>H</w:t>
            </w:r>
            <w:r w:rsidRPr="0063065F">
              <w:rPr>
                <w:vertAlign w:val="subscript"/>
                <w:lang w:val="en-GB"/>
              </w:rPr>
              <w:t>2</w:t>
            </w:r>
            <w:r>
              <w:rPr>
                <w:lang w:val="en-GB"/>
              </w:rPr>
              <w:t>S Vigi eNose</w:t>
            </w:r>
            <w:r w:rsidRPr="001737C8">
              <w:rPr>
                <w:vertAlign w:val="superscript"/>
                <w:lang w:val="en-GB"/>
              </w:rPr>
              <w:t>®</w:t>
            </w:r>
          </w:p>
        </w:tc>
        <w:tc>
          <w:tcPr>
            <w:tcW w:w="1134" w:type="dxa"/>
            <w:tcBorders>
              <w:top w:val="single" w:sz="12" w:space="0" w:color="008000"/>
              <w:left w:val="nil"/>
              <w:bottom w:val="single" w:sz="6" w:space="0" w:color="008000"/>
              <w:right w:val="nil"/>
            </w:tcBorders>
            <w:shd w:val="clear" w:color="auto" w:fill="FFFFFF"/>
            <w:hideMark/>
          </w:tcPr>
          <w:p w14:paraId="3F7FD886" w14:textId="77777777" w:rsidR="00084040" w:rsidRDefault="00084040" w:rsidP="00D945A5">
            <w:pPr>
              <w:pStyle w:val="CETBodytext"/>
              <w:jc w:val="left"/>
              <w:rPr>
                <w:lang w:val="en-GB"/>
              </w:rPr>
            </w:pPr>
            <w:r>
              <w:rPr>
                <w:lang w:val="en-GB"/>
              </w:rPr>
              <w:t>H</w:t>
            </w:r>
            <w:r w:rsidRPr="0063065F">
              <w:rPr>
                <w:vertAlign w:val="subscript"/>
                <w:lang w:val="en-GB"/>
              </w:rPr>
              <w:t>2</w:t>
            </w:r>
            <w:r>
              <w:rPr>
                <w:lang w:val="en-GB"/>
              </w:rPr>
              <w:t>S Jerome</w:t>
            </w:r>
          </w:p>
        </w:tc>
        <w:tc>
          <w:tcPr>
            <w:tcW w:w="708" w:type="dxa"/>
            <w:tcBorders>
              <w:top w:val="single" w:sz="12" w:space="0" w:color="008000"/>
              <w:left w:val="nil"/>
              <w:bottom w:val="single" w:sz="6" w:space="0" w:color="008000"/>
              <w:right w:val="nil"/>
            </w:tcBorders>
            <w:shd w:val="clear" w:color="auto" w:fill="FFFFFF"/>
          </w:tcPr>
          <w:p w14:paraId="3D58441A" w14:textId="77777777" w:rsidR="00084040" w:rsidRDefault="00084040" w:rsidP="00D945A5">
            <w:pPr>
              <w:pStyle w:val="CETBodytext"/>
              <w:ind w:right="-1"/>
              <w:jc w:val="left"/>
              <w:rPr>
                <w:rFonts w:cs="Arial"/>
                <w:szCs w:val="18"/>
                <w:lang w:val="en-GB"/>
              </w:rPr>
            </w:pPr>
            <w:r>
              <w:rPr>
                <w:rFonts w:cs="Arial"/>
                <w:szCs w:val="18"/>
                <w:lang w:val="en-GB"/>
              </w:rPr>
              <w:t>S-OI</w:t>
            </w:r>
          </w:p>
        </w:tc>
        <w:tc>
          <w:tcPr>
            <w:tcW w:w="1134" w:type="dxa"/>
            <w:tcBorders>
              <w:top w:val="single" w:sz="12" w:space="0" w:color="008000"/>
              <w:left w:val="nil"/>
              <w:bottom w:val="single" w:sz="6" w:space="0" w:color="008000"/>
              <w:right w:val="nil"/>
            </w:tcBorders>
            <w:shd w:val="clear" w:color="auto" w:fill="FFFFFF"/>
          </w:tcPr>
          <w:p w14:paraId="7E3980FE" w14:textId="77777777" w:rsidR="00084040" w:rsidRPr="001737C8" w:rsidRDefault="00084040" w:rsidP="00D945A5">
            <w:pPr>
              <w:pStyle w:val="CETBodytext"/>
              <w:ind w:right="-1"/>
              <w:jc w:val="left"/>
              <w:rPr>
                <w:rFonts w:cs="Arial"/>
                <w:szCs w:val="18"/>
                <w:lang w:val="en-GB"/>
              </w:rPr>
            </w:pPr>
            <w:r w:rsidRPr="001737C8">
              <w:rPr>
                <w:rFonts w:cs="Arial"/>
                <w:szCs w:val="18"/>
                <w:lang w:val="en-GB"/>
              </w:rPr>
              <w:t>Odour Conc. (ou</w:t>
            </w:r>
            <w:r w:rsidRPr="001737C8">
              <w:rPr>
                <w:rFonts w:cs="Arial"/>
                <w:szCs w:val="18"/>
                <w:vertAlign w:val="subscript"/>
                <w:lang w:val="en-GB"/>
              </w:rPr>
              <w:t>E</w:t>
            </w:r>
            <w:r w:rsidRPr="001737C8">
              <w:rPr>
                <w:rFonts w:cs="Arial"/>
                <w:szCs w:val="18"/>
                <w:lang w:val="en-GB"/>
              </w:rPr>
              <w:t>/m</w:t>
            </w:r>
            <w:r w:rsidRPr="001737C8">
              <w:rPr>
                <w:rFonts w:cs="Arial"/>
                <w:szCs w:val="18"/>
                <w:vertAlign w:val="superscript"/>
                <w:lang w:val="en-GB"/>
              </w:rPr>
              <w:t>3</w:t>
            </w:r>
            <w:r w:rsidRPr="001737C8">
              <w:rPr>
                <w:rFonts w:cs="Arial"/>
                <w:szCs w:val="18"/>
                <w:lang w:val="en-GB"/>
              </w:rPr>
              <w:t>)</w:t>
            </w:r>
          </w:p>
        </w:tc>
      </w:tr>
      <w:tr w:rsidR="00084040" w14:paraId="62B630DC" w14:textId="77777777" w:rsidTr="00D945A5">
        <w:tc>
          <w:tcPr>
            <w:tcW w:w="2977" w:type="dxa"/>
            <w:tcBorders>
              <w:top w:val="nil"/>
              <w:left w:val="nil"/>
              <w:bottom w:val="nil"/>
              <w:right w:val="nil"/>
            </w:tcBorders>
            <w:shd w:val="clear" w:color="auto" w:fill="FFFFFF"/>
            <w:hideMark/>
          </w:tcPr>
          <w:p w14:paraId="1FD9A842" w14:textId="77777777" w:rsidR="00084040" w:rsidRDefault="00084040" w:rsidP="00D945A5">
            <w:pPr>
              <w:pStyle w:val="CETBodytext"/>
              <w:rPr>
                <w:lang w:val="en-GB"/>
              </w:rPr>
            </w:pPr>
            <w:r>
              <w:rPr>
                <w:lang w:val="en-GB"/>
              </w:rPr>
              <w:t>Biofilter outlet</w:t>
            </w:r>
          </w:p>
        </w:tc>
        <w:tc>
          <w:tcPr>
            <w:tcW w:w="851" w:type="dxa"/>
            <w:tcBorders>
              <w:top w:val="nil"/>
              <w:left w:val="nil"/>
              <w:bottom w:val="nil"/>
              <w:right w:val="nil"/>
            </w:tcBorders>
            <w:shd w:val="clear" w:color="auto" w:fill="FFFFFF"/>
          </w:tcPr>
          <w:p w14:paraId="7C18B913" w14:textId="77777777" w:rsidR="00084040" w:rsidRDefault="00084040" w:rsidP="00D945A5">
            <w:pPr>
              <w:pStyle w:val="CETBodytext"/>
              <w:rPr>
                <w:lang w:val="en-GB"/>
              </w:rPr>
            </w:pPr>
            <w:r w:rsidRPr="00565694">
              <w:t>2.1</w:t>
            </w:r>
          </w:p>
        </w:tc>
        <w:tc>
          <w:tcPr>
            <w:tcW w:w="1134" w:type="dxa"/>
            <w:tcBorders>
              <w:top w:val="nil"/>
              <w:left w:val="nil"/>
              <w:bottom w:val="nil"/>
              <w:right w:val="nil"/>
            </w:tcBorders>
            <w:shd w:val="clear" w:color="auto" w:fill="FFFFFF"/>
          </w:tcPr>
          <w:p w14:paraId="5B810A95" w14:textId="77777777" w:rsidR="00084040" w:rsidRDefault="00084040" w:rsidP="00D945A5">
            <w:pPr>
              <w:pStyle w:val="CETBodytext"/>
              <w:rPr>
                <w:lang w:val="en-GB"/>
              </w:rPr>
            </w:pPr>
            <w:r w:rsidRPr="00565694">
              <w:t>2.9</w:t>
            </w:r>
          </w:p>
        </w:tc>
        <w:tc>
          <w:tcPr>
            <w:tcW w:w="708" w:type="dxa"/>
            <w:tcBorders>
              <w:top w:val="nil"/>
              <w:left w:val="nil"/>
              <w:bottom w:val="nil"/>
              <w:right w:val="nil"/>
            </w:tcBorders>
            <w:shd w:val="clear" w:color="auto" w:fill="FFFFFF"/>
          </w:tcPr>
          <w:p w14:paraId="43CA1E36" w14:textId="77777777" w:rsidR="00084040" w:rsidRDefault="00084040" w:rsidP="00D945A5">
            <w:pPr>
              <w:pStyle w:val="CETBodytext"/>
              <w:ind w:right="-1"/>
              <w:rPr>
                <w:rFonts w:cs="Arial"/>
                <w:szCs w:val="18"/>
                <w:lang w:val="en-GB"/>
              </w:rPr>
            </w:pPr>
            <w:r w:rsidRPr="00565694">
              <w:t>190</w:t>
            </w:r>
          </w:p>
        </w:tc>
        <w:tc>
          <w:tcPr>
            <w:tcW w:w="1134" w:type="dxa"/>
            <w:tcBorders>
              <w:top w:val="nil"/>
              <w:left w:val="nil"/>
              <w:bottom w:val="nil"/>
              <w:right w:val="nil"/>
            </w:tcBorders>
            <w:shd w:val="clear" w:color="auto" w:fill="FFFFFF"/>
          </w:tcPr>
          <w:p w14:paraId="3BF5E099" w14:textId="77777777" w:rsidR="00084040" w:rsidRPr="001737C8" w:rsidRDefault="00084040" w:rsidP="00D945A5">
            <w:pPr>
              <w:pStyle w:val="CETBodytext"/>
              <w:ind w:right="-1"/>
              <w:rPr>
                <w:rFonts w:cs="Arial"/>
                <w:szCs w:val="18"/>
                <w:lang w:val="en-GB"/>
              </w:rPr>
            </w:pPr>
            <w:r w:rsidRPr="001737C8">
              <w:t>70</w:t>
            </w:r>
          </w:p>
        </w:tc>
      </w:tr>
      <w:tr w:rsidR="00084040" w14:paraId="114707D4" w14:textId="77777777" w:rsidTr="00D945A5">
        <w:tc>
          <w:tcPr>
            <w:tcW w:w="2977" w:type="dxa"/>
            <w:tcBorders>
              <w:top w:val="nil"/>
              <w:left w:val="nil"/>
              <w:bottom w:val="nil"/>
              <w:right w:val="nil"/>
            </w:tcBorders>
            <w:shd w:val="clear" w:color="auto" w:fill="FFFFFF"/>
          </w:tcPr>
          <w:p w14:paraId="027D5B9E" w14:textId="77777777" w:rsidR="00084040" w:rsidRPr="001737C8" w:rsidRDefault="00084040" w:rsidP="00D945A5">
            <w:pPr>
              <w:pStyle w:val="CETBodytext"/>
              <w:ind w:right="-1"/>
              <w:rPr>
                <w:rFonts w:cs="Arial"/>
                <w:szCs w:val="18"/>
                <w:lang w:val="en-GB"/>
              </w:rPr>
            </w:pPr>
            <w:r w:rsidRPr="001737C8">
              <w:rPr>
                <w:rFonts w:cs="Arial"/>
                <w:szCs w:val="18"/>
                <w:lang w:val="en-GB"/>
              </w:rPr>
              <w:t>Sludge digester carbon filter out</w:t>
            </w:r>
            <w:r>
              <w:rPr>
                <w:rFonts w:cs="Arial"/>
                <w:szCs w:val="18"/>
                <w:lang w:val="en-GB"/>
              </w:rPr>
              <w:t>let</w:t>
            </w:r>
          </w:p>
        </w:tc>
        <w:tc>
          <w:tcPr>
            <w:tcW w:w="851" w:type="dxa"/>
            <w:tcBorders>
              <w:top w:val="nil"/>
              <w:left w:val="nil"/>
              <w:bottom w:val="nil"/>
              <w:right w:val="nil"/>
            </w:tcBorders>
            <w:shd w:val="clear" w:color="auto" w:fill="FFFFFF"/>
          </w:tcPr>
          <w:p w14:paraId="1E305AE6" w14:textId="77777777" w:rsidR="00084040" w:rsidRDefault="00084040" w:rsidP="00D945A5">
            <w:pPr>
              <w:pStyle w:val="CETBodytext"/>
              <w:ind w:right="-1"/>
              <w:rPr>
                <w:rFonts w:cs="Arial"/>
                <w:szCs w:val="18"/>
                <w:lang w:val="en-GB"/>
              </w:rPr>
            </w:pPr>
            <w:r w:rsidRPr="00565694">
              <w:t>2.3</w:t>
            </w:r>
          </w:p>
        </w:tc>
        <w:tc>
          <w:tcPr>
            <w:tcW w:w="1134" w:type="dxa"/>
            <w:tcBorders>
              <w:top w:val="nil"/>
              <w:left w:val="nil"/>
              <w:bottom w:val="nil"/>
              <w:right w:val="nil"/>
            </w:tcBorders>
            <w:shd w:val="clear" w:color="auto" w:fill="FFFFFF"/>
          </w:tcPr>
          <w:p w14:paraId="401BDA43" w14:textId="77777777" w:rsidR="00084040" w:rsidRDefault="00084040" w:rsidP="00D945A5">
            <w:pPr>
              <w:pStyle w:val="CETBodytext"/>
              <w:ind w:right="-1"/>
              <w:rPr>
                <w:rFonts w:cs="Arial"/>
                <w:szCs w:val="18"/>
                <w:lang w:val="en-GB"/>
              </w:rPr>
            </w:pPr>
            <w:r w:rsidRPr="00565694">
              <w:t>8.5</w:t>
            </w:r>
          </w:p>
        </w:tc>
        <w:tc>
          <w:tcPr>
            <w:tcW w:w="708" w:type="dxa"/>
            <w:tcBorders>
              <w:top w:val="nil"/>
              <w:left w:val="nil"/>
              <w:bottom w:val="nil"/>
              <w:right w:val="nil"/>
            </w:tcBorders>
            <w:shd w:val="clear" w:color="auto" w:fill="FFFFFF"/>
          </w:tcPr>
          <w:p w14:paraId="62212A7F" w14:textId="77777777" w:rsidR="00084040" w:rsidRDefault="00084040" w:rsidP="00D945A5">
            <w:pPr>
              <w:pStyle w:val="CETBodytext"/>
              <w:ind w:right="-1"/>
              <w:rPr>
                <w:rFonts w:cs="Arial"/>
                <w:szCs w:val="18"/>
                <w:lang w:val="en-GB"/>
              </w:rPr>
            </w:pPr>
            <w:r w:rsidRPr="00565694">
              <w:t>277</w:t>
            </w:r>
          </w:p>
        </w:tc>
        <w:tc>
          <w:tcPr>
            <w:tcW w:w="1134" w:type="dxa"/>
            <w:tcBorders>
              <w:top w:val="nil"/>
              <w:left w:val="nil"/>
              <w:bottom w:val="nil"/>
              <w:right w:val="nil"/>
            </w:tcBorders>
            <w:shd w:val="clear" w:color="auto" w:fill="FFFFFF"/>
          </w:tcPr>
          <w:p w14:paraId="2D6831B0" w14:textId="77777777" w:rsidR="00084040" w:rsidRDefault="00084040" w:rsidP="00D945A5">
            <w:pPr>
              <w:pStyle w:val="CETBodytext"/>
              <w:ind w:right="-1"/>
              <w:rPr>
                <w:rFonts w:cs="Arial"/>
                <w:szCs w:val="18"/>
                <w:lang w:val="en-GB"/>
              </w:rPr>
            </w:pPr>
            <w:r w:rsidRPr="00565694">
              <w:t>218</w:t>
            </w:r>
          </w:p>
        </w:tc>
      </w:tr>
      <w:tr w:rsidR="00084040" w14:paraId="13D77107" w14:textId="77777777" w:rsidTr="00D945A5">
        <w:tc>
          <w:tcPr>
            <w:tcW w:w="2977" w:type="dxa"/>
            <w:tcBorders>
              <w:top w:val="nil"/>
              <w:left w:val="nil"/>
              <w:bottom w:val="nil"/>
              <w:right w:val="nil"/>
            </w:tcBorders>
            <w:shd w:val="clear" w:color="auto" w:fill="FFFFFF"/>
          </w:tcPr>
          <w:p w14:paraId="6D041027" w14:textId="77777777" w:rsidR="00084040" w:rsidRDefault="00084040" w:rsidP="00D945A5">
            <w:pPr>
              <w:pStyle w:val="CETBodytext"/>
              <w:ind w:right="-1"/>
              <w:rPr>
                <w:rFonts w:cs="Arial"/>
                <w:szCs w:val="18"/>
                <w:lang w:val="en-GB"/>
              </w:rPr>
            </w:pPr>
            <w:r>
              <w:rPr>
                <w:rFonts w:cs="Arial"/>
                <w:szCs w:val="18"/>
                <w:lang w:val="en-GB"/>
              </w:rPr>
              <w:t>Prim. settler carbon filter outlet</w:t>
            </w:r>
          </w:p>
        </w:tc>
        <w:tc>
          <w:tcPr>
            <w:tcW w:w="851" w:type="dxa"/>
            <w:tcBorders>
              <w:top w:val="nil"/>
              <w:left w:val="nil"/>
              <w:bottom w:val="nil"/>
              <w:right w:val="nil"/>
            </w:tcBorders>
            <w:shd w:val="clear" w:color="auto" w:fill="FFFFFF"/>
          </w:tcPr>
          <w:p w14:paraId="4FEC9497" w14:textId="77777777" w:rsidR="00084040" w:rsidRDefault="00084040" w:rsidP="00D945A5">
            <w:pPr>
              <w:pStyle w:val="CETBodytext"/>
              <w:ind w:right="-1"/>
              <w:rPr>
                <w:rFonts w:cs="Arial"/>
                <w:szCs w:val="18"/>
                <w:lang w:val="en-GB"/>
              </w:rPr>
            </w:pPr>
            <w:r w:rsidRPr="00565694">
              <w:t>19.9</w:t>
            </w:r>
          </w:p>
        </w:tc>
        <w:tc>
          <w:tcPr>
            <w:tcW w:w="1134" w:type="dxa"/>
            <w:tcBorders>
              <w:top w:val="nil"/>
              <w:left w:val="nil"/>
              <w:bottom w:val="nil"/>
              <w:right w:val="nil"/>
            </w:tcBorders>
            <w:shd w:val="clear" w:color="auto" w:fill="FFFFFF"/>
          </w:tcPr>
          <w:p w14:paraId="420D3867" w14:textId="77777777" w:rsidR="00084040" w:rsidRDefault="00084040" w:rsidP="00D945A5">
            <w:pPr>
              <w:pStyle w:val="CETBodytext"/>
              <w:ind w:right="-1"/>
              <w:rPr>
                <w:rFonts w:cs="Arial"/>
                <w:szCs w:val="18"/>
                <w:lang w:val="en-GB"/>
              </w:rPr>
            </w:pPr>
            <w:r w:rsidRPr="00565694">
              <w:t>20.8</w:t>
            </w:r>
          </w:p>
        </w:tc>
        <w:tc>
          <w:tcPr>
            <w:tcW w:w="708" w:type="dxa"/>
            <w:tcBorders>
              <w:top w:val="nil"/>
              <w:left w:val="nil"/>
              <w:bottom w:val="nil"/>
              <w:right w:val="nil"/>
            </w:tcBorders>
            <w:shd w:val="clear" w:color="auto" w:fill="FFFFFF"/>
          </w:tcPr>
          <w:p w14:paraId="0B3771D2" w14:textId="77777777" w:rsidR="00084040" w:rsidRDefault="00084040" w:rsidP="00D945A5">
            <w:pPr>
              <w:pStyle w:val="CETBodytext"/>
              <w:ind w:right="-1"/>
              <w:rPr>
                <w:rFonts w:cs="Arial"/>
                <w:szCs w:val="18"/>
                <w:lang w:val="en-GB"/>
              </w:rPr>
            </w:pPr>
            <w:r w:rsidRPr="00565694">
              <w:t>1</w:t>
            </w:r>
            <w:r>
              <w:t>,</w:t>
            </w:r>
            <w:r w:rsidRPr="00565694">
              <w:t>135</w:t>
            </w:r>
          </w:p>
        </w:tc>
        <w:tc>
          <w:tcPr>
            <w:tcW w:w="1134" w:type="dxa"/>
            <w:tcBorders>
              <w:top w:val="nil"/>
              <w:left w:val="nil"/>
              <w:bottom w:val="nil"/>
              <w:right w:val="nil"/>
            </w:tcBorders>
            <w:shd w:val="clear" w:color="auto" w:fill="FFFFFF"/>
          </w:tcPr>
          <w:p w14:paraId="6916340B" w14:textId="77777777" w:rsidR="00084040" w:rsidRDefault="00084040" w:rsidP="00D945A5">
            <w:pPr>
              <w:pStyle w:val="CETBodytext"/>
              <w:ind w:right="-1"/>
              <w:rPr>
                <w:rFonts w:cs="Arial"/>
                <w:szCs w:val="18"/>
                <w:lang w:val="en-GB"/>
              </w:rPr>
            </w:pPr>
            <w:r w:rsidRPr="00565694">
              <w:t>484</w:t>
            </w:r>
          </w:p>
        </w:tc>
      </w:tr>
      <w:tr w:rsidR="00084040" w14:paraId="3E3155E4" w14:textId="77777777" w:rsidTr="00D945A5">
        <w:tc>
          <w:tcPr>
            <w:tcW w:w="2977" w:type="dxa"/>
            <w:tcBorders>
              <w:top w:val="nil"/>
              <w:left w:val="nil"/>
              <w:bottom w:val="nil"/>
              <w:right w:val="nil"/>
            </w:tcBorders>
            <w:shd w:val="clear" w:color="auto" w:fill="FFFFFF"/>
          </w:tcPr>
          <w:p w14:paraId="4B17C3A7" w14:textId="77777777" w:rsidR="00084040" w:rsidRDefault="00084040" w:rsidP="00D945A5">
            <w:pPr>
              <w:pStyle w:val="CETBodytext"/>
              <w:ind w:right="-1"/>
              <w:rPr>
                <w:rFonts w:cs="Arial"/>
                <w:szCs w:val="18"/>
                <w:lang w:val="en-GB"/>
              </w:rPr>
            </w:pPr>
            <w:r>
              <w:rPr>
                <w:rFonts w:cs="Arial"/>
                <w:szCs w:val="18"/>
                <w:lang w:val="en-GB"/>
              </w:rPr>
              <w:t>Biological reactor</w:t>
            </w:r>
          </w:p>
        </w:tc>
        <w:tc>
          <w:tcPr>
            <w:tcW w:w="851" w:type="dxa"/>
            <w:tcBorders>
              <w:top w:val="nil"/>
              <w:left w:val="nil"/>
              <w:bottom w:val="nil"/>
              <w:right w:val="nil"/>
            </w:tcBorders>
            <w:shd w:val="clear" w:color="auto" w:fill="FFFFFF"/>
          </w:tcPr>
          <w:p w14:paraId="69B9BAA7" w14:textId="77777777" w:rsidR="00084040" w:rsidRDefault="00084040" w:rsidP="00D945A5">
            <w:pPr>
              <w:pStyle w:val="CETBodytext"/>
              <w:ind w:right="-1"/>
              <w:rPr>
                <w:rFonts w:cs="Arial"/>
                <w:szCs w:val="18"/>
                <w:lang w:val="en-GB"/>
              </w:rPr>
            </w:pPr>
            <w:r w:rsidRPr="00565694">
              <w:t>0.0</w:t>
            </w:r>
          </w:p>
        </w:tc>
        <w:tc>
          <w:tcPr>
            <w:tcW w:w="1134" w:type="dxa"/>
            <w:tcBorders>
              <w:top w:val="nil"/>
              <w:left w:val="nil"/>
              <w:bottom w:val="nil"/>
              <w:right w:val="nil"/>
            </w:tcBorders>
            <w:shd w:val="clear" w:color="auto" w:fill="FFFFFF"/>
          </w:tcPr>
          <w:p w14:paraId="153A8278" w14:textId="77777777" w:rsidR="00084040" w:rsidRDefault="00084040" w:rsidP="00D945A5">
            <w:pPr>
              <w:pStyle w:val="CETBodytext"/>
              <w:ind w:right="-1"/>
              <w:rPr>
                <w:rFonts w:cs="Arial"/>
                <w:szCs w:val="18"/>
                <w:lang w:val="en-GB"/>
              </w:rPr>
            </w:pPr>
            <w:r w:rsidRPr="00565694">
              <w:t>5.8</w:t>
            </w:r>
          </w:p>
        </w:tc>
        <w:tc>
          <w:tcPr>
            <w:tcW w:w="708" w:type="dxa"/>
            <w:tcBorders>
              <w:top w:val="nil"/>
              <w:left w:val="nil"/>
              <w:bottom w:val="nil"/>
              <w:right w:val="nil"/>
            </w:tcBorders>
            <w:shd w:val="clear" w:color="auto" w:fill="FFFFFF"/>
          </w:tcPr>
          <w:p w14:paraId="60D689A7" w14:textId="77777777" w:rsidR="00084040" w:rsidRDefault="00084040" w:rsidP="00D945A5">
            <w:pPr>
              <w:pStyle w:val="CETBodytext"/>
              <w:ind w:right="-1"/>
              <w:rPr>
                <w:rFonts w:cs="Arial"/>
                <w:szCs w:val="18"/>
                <w:lang w:val="en-GB"/>
              </w:rPr>
            </w:pPr>
            <w:r w:rsidRPr="00565694">
              <w:t>743</w:t>
            </w:r>
          </w:p>
        </w:tc>
        <w:tc>
          <w:tcPr>
            <w:tcW w:w="1134" w:type="dxa"/>
            <w:tcBorders>
              <w:top w:val="nil"/>
              <w:left w:val="nil"/>
              <w:bottom w:val="nil"/>
              <w:right w:val="nil"/>
            </w:tcBorders>
            <w:shd w:val="clear" w:color="auto" w:fill="FFFFFF"/>
          </w:tcPr>
          <w:p w14:paraId="216BC355" w14:textId="77777777" w:rsidR="00084040" w:rsidRDefault="00084040" w:rsidP="00D945A5">
            <w:pPr>
              <w:pStyle w:val="CETBodytext"/>
              <w:ind w:right="-1"/>
              <w:rPr>
                <w:rFonts w:cs="Arial"/>
                <w:szCs w:val="18"/>
                <w:lang w:val="en-GB"/>
              </w:rPr>
            </w:pPr>
            <w:r w:rsidRPr="00565694">
              <w:t>366</w:t>
            </w:r>
          </w:p>
        </w:tc>
      </w:tr>
      <w:tr w:rsidR="00084040" w14:paraId="4B6127F4" w14:textId="77777777" w:rsidTr="00D945A5">
        <w:tc>
          <w:tcPr>
            <w:tcW w:w="2977" w:type="dxa"/>
            <w:tcBorders>
              <w:top w:val="nil"/>
              <w:left w:val="nil"/>
              <w:bottom w:val="single" w:sz="12" w:space="0" w:color="008000"/>
              <w:right w:val="nil"/>
            </w:tcBorders>
            <w:shd w:val="clear" w:color="auto" w:fill="FFFFFF"/>
          </w:tcPr>
          <w:p w14:paraId="05B8E6A5" w14:textId="77777777" w:rsidR="00084040" w:rsidRDefault="00084040" w:rsidP="00D945A5">
            <w:pPr>
              <w:pStyle w:val="CETBodytext"/>
              <w:ind w:right="-1"/>
              <w:rPr>
                <w:rFonts w:cs="Arial"/>
                <w:szCs w:val="18"/>
                <w:lang w:val="en-GB"/>
              </w:rPr>
            </w:pPr>
            <w:r>
              <w:rPr>
                <w:rFonts w:cs="Arial"/>
                <w:szCs w:val="18"/>
                <w:lang w:val="en-GB"/>
              </w:rPr>
              <w:t>Sludge scrubber outlet</w:t>
            </w:r>
          </w:p>
        </w:tc>
        <w:tc>
          <w:tcPr>
            <w:tcW w:w="851" w:type="dxa"/>
            <w:tcBorders>
              <w:top w:val="nil"/>
              <w:left w:val="nil"/>
              <w:bottom w:val="single" w:sz="12" w:space="0" w:color="008000"/>
              <w:right w:val="nil"/>
            </w:tcBorders>
            <w:shd w:val="clear" w:color="auto" w:fill="FFFFFF"/>
          </w:tcPr>
          <w:p w14:paraId="2175011D" w14:textId="77777777" w:rsidR="00084040" w:rsidRDefault="00084040" w:rsidP="00D945A5">
            <w:pPr>
              <w:pStyle w:val="CETBodytext"/>
              <w:ind w:right="-1"/>
              <w:rPr>
                <w:rFonts w:cs="Arial"/>
                <w:szCs w:val="18"/>
                <w:lang w:val="en-GB"/>
              </w:rPr>
            </w:pPr>
            <w:r w:rsidRPr="00565694">
              <w:t>35.6</w:t>
            </w:r>
          </w:p>
        </w:tc>
        <w:tc>
          <w:tcPr>
            <w:tcW w:w="1134" w:type="dxa"/>
            <w:tcBorders>
              <w:top w:val="nil"/>
              <w:left w:val="nil"/>
              <w:bottom w:val="single" w:sz="12" w:space="0" w:color="008000"/>
              <w:right w:val="nil"/>
            </w:tcBorders>
            <w:shd w:val="clear" w:color="auto" w:fill="FFFFFF"/>
          </w:tcPr>
          <w:p w14:paraId="20B87FB7" w14:textId="77777777" w:rsidR="00084040" w:rsidRDefault="00084040" w:rsidP="00D945A5">
            <w:pPr>
              <w:pStyle w:val="CETBodytext"/>
              <w:ind w:right="-1"/>
              <w:rPr>
                <w:rFonts w:cs="Arial"/>
                <w:szCs w:val="18"/>
                <w:lang w:val="en-GB"/>
              </w:rPr>
            </w:pPr>
            <w:r w:rsidRPr="00565694">
              <w:t>35.9</w:t>
            </w:r>
          </w:p>
        </w:tc>
        <w:tc>
          <w:tcPr>
            <w:tcW w:w="708" w:type="dxa"/>
            <w:tcBorders>
              <w:top w:val="nil"/>
              <w:left w:val="nil"/>
              <w:bottom w:val="single" w:sz="12" w:space="0" w:color="008000"/>
              <w:right w:val="nil"/>
            </w:tcBorders>
            <w:shd w:val="clear" w:color="auto" w:fill="FFFFFF"/>
          </w:tcPr>
          <w:p w14:paraId="19BA8C1A" w14:textId="77777777" w:rsidR="00084040" w:rsidRDefault="00084040" w:rsidP="00D945A5">
            <w:pPr>
              <w:pStyle w:val="CETBodytext"/>
              <w:ind w:right="-1"/>
              <w:rPr>
                <w:rFonts w:cs="Arial"/>
                <w:szCs w:val="18"/>
                <w:lang w:val="en-GB"/>
              </w:rPr>
            </w:pPr>
            <w:r w:rsidRPr="00565694">
              <w:t>1</w:t>
            </w:r>
            <w:r>
              <w:t>,</w:t>
            </w:r>
            <w:r w:rsidRPr="00565694">
              <w:t>756</w:t>
            </w:r>
          </w:p>
        </w:tc>
        <w:tc>
          <w:tcPr>
            <w:tcW w:w="1134" w:type="dxa"/>
            <w:tcBorders>
              <w:top w:val="nil"/>
              <w:left w:val="nil"/>
              <w:bottom w:val="single" w:sz="12" w:space="0" w:color="008000"/>
              <w:right w:val="nil"/>
            </w:tcBorders>
            <w:shd w:val="clear" w:color="auto" w:fill="FFFFFF"/>
          </w:tcPr>
          <w:p w14:paraId="249D8E19" w14:textId="77777777" w:rsidR="00084040" w:rsidRDefault="00084040" w:rsidP="00D945A5">
            <w:pPr>
              <w:pStyle w:val="CETBodytext"/>
              <w:ind w:right="-1"/>
              <w:rPr>
                <w:rFonts w:cs="Arial"/>
                <w:szCs w:val="18"/>
                <w:lang w:val="en-GB"/>
              </w:rPr>
            </w:pPr>
            <w:r w:rsidRPr="00565694">
              <w:t>1</w:t>
            </w:r>
            <w:r>
              <w:t>,</w:t>
            </w:r>
            <w:r w:rsidRPr="00565694">
              <w:t>413</w:t>
            </w:r>
          </w:p>
        </w:tc>
      </w:tr>
    </w:tbl>
    <w:p w14:paraId="6946916E" w14:textId="77777777" w:rsidR="00084040" w:rsidRPr="001E3155" w:rsidRDefault="00084040" w:rsidP="00084040">
      <w:pPr>
        <w:pStyle w:val="CETBodytext"/>
        <w:rPr>
          <w:lang w:val="en-GB"/>
        </w:rPr>
      </w:pPr>
    </w:p>
    <w:p w14:paraId="4DC34D08" w14:textId="53462857" w:rsidR="008C1A01" w:rsidRDefault="00084040" w:rsidP="00084040">
      <w:pPr>
        <w:pStyle w:val="CETBodytext"/>
        <w:rPr>
          <w:lang w:val="en-GB"/>
        </w:rPr>
      </w:pPr>
      <w:r w:rsidRPr="009B37CD">
        <w:rPr>
          <w:lang w:val="en-GB"/>
        </w:rPr>
        <w:t>The</w:t>
      </w:r>
      <w:r w:rsidR="008C1A01" w:rsidRPr="008C1A01">
        <w:rPr>
          <w:lang w:val="en-GB"/>
        </w:rPr>
        <w:t xml:space="preserve"> results obtained with </w:t>
      </w:r>
      <w:r w:rsidR="008C1A01" w:rsidRPr="00C211BD">
        <w:rPr>
          <w:lang w:val="en-GB"/>
        </w:rPr>
        <w:t>the Vigi eNose</w:t>
      </w:r>
      <w:r w:rsidR="008C1A01" w:rsidRPr="00C211BD">
        <w:rPr>
          <w:vertAlign w:val="superscript"/>
          <w:lang w:val="en-GB"/>
        </w:rPr>
        <w:t>®</w:t>
      </w:r>
      <w:r w:rsidR="008C1A01" w:rsidRPr="00C211BD">
        <w:rPr>
          <w:lang w:val="en-GB"/>
        </w:rPr>
        <w:t xml:space="preserve"> system and the other analytical methods similarly find that the H</w:t>
      </w:r>
      <w:r w:rsidR="008C1A01" w:rsidRPr="00C211BD">
        <w:rPr>
          <w:vertAlign w:val="subscript"/>
          <w:lang w:val="en-GB"/>
        </w:rPr>
        <w:t>2</w:t>
      </w:r>
      <w:r w:rsidR="008C1A01" w:rsidRPr="00C211BD">
        <w:rPr>
          <w:lang w:val="en-GB"/>
        </w:rPr>
        <w:t xml:space="preserve">S data indicated in Table 3, as well as in Figure </w:t>
      </w:r>
      <w:r w:rsidR="00C211BD" w:rsidRPr="00C211BD">
        <w:rPr>
          <w:lang w:val="en-GB"/>
        </w:rPr>
        <w:t>3</w:t>
      </w:r>
      <w:r w:rsidR="008C1A01" w:rsidRPr="00C211BD">
        <w:rPr>
          <w:lang w:val="en-GB"/>
        </w:rPr>
        <w:t>, shows a significant correlation between the odour concentrations measured by dynamic olfactometry and the S-OI</w:t>
      </w:r>
      <w:r w:rsidR="008C1A01" w:rsidRPr="008C1A01">
        <w:rPr>
          <w:lang w:val="en-GB"/>
        </w:rPr>
        <w:t>. This parameter is automatically obtained by a proprietary algorithm using the corresponding olfactory thresholds of the Vigi eNose</w:t>
      </w:r>
      <w:r w:rsidR="008C1A01" w:rsidRPr="008C1A01">
        <w:rPr>
          <w:vertAlign w:val="superscript"/>
          <w:lang w:val="en-GB"/>
        </w:rPr>
        <w:t>®</w:t>
      </w:r>
      <w:r w:rsidR="008C1A01" w:rsidRPr="008C1A01">
        <w:rPr>
          <w:lang w:val="en-GB"/>
        </w:rPr>
        <w:t xml:space="preserve"> analyser.</w:t>
      </w:r>
    </w:p>
    <w:p w14:paraId="26BDC4AC" w14:textId="77777777" w:rsidR="00F45EF1" w:rsidRPr="001E3155" w:rsidRDefault="00F45EF1" w:rsidP="009B37CD">
      <w:pPr>
        <w:pStyle w:val="CETBodytext"/>
        <w:rPr>
          <w:lang w:val="en-GB"/>
        </w:rPr>
      </w:pPr>
    </w:p>
    <w:p w14:paraId="1D77805F" w14:textId="7EEAD2CE" w:rsidR="002D7230" w:rsidRPr="00B57B36" w:rsidRDefault="00B70DA2" w:rsidP="002D7230">
      <w:pPr>
        <w:pStyle w:val="CETBodytext"/>
        <w:jc w:val="left"/>
        <w:rPr>
          <w:lang w:val="en-GB"/>
        </w:rPr>
      </w:pPr>
      <w:r>
        <w:rPr>
          <w:noProof/>
          <w:lang w:val="en-GB"/>
        </w:rPr>
        <w:drawing>
          <wp:inline distT="0" distB="0" distL="0" distR="0" wp14:anchorId="414527EF" wp14:editId="18698C41">
            <wp:extent cx="5400000" cy="2339681"/>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339681"/>
                    </a:xfrm>
                    <a:prstGeom prst="rect">
                      <a:avLst/>
                    </a:prstGeom>
                    <a:noFill/>
                  </pic:spPr>
                </pic:pic>
              </a:graphicData>
            </a:graphic>
          </wp:inline>
        </w:drawing>
      </w:r>
    </w:p>
    <w:p w14:paraId="0C847131" w14:textId="10738EF4" w:rsidR="002D7230" w:rsidRDefault="00B632BD" w:rsidP="002D7230">
      <w:pPr>
        <w:pStyle w:val="CETCaption"/>
      </w:pPr>
      <w:r>
        <w:t xml:space="preserve">Figure </w:t>
      </w:r>
      <w:r w:rsidR="00C211BD">
        <w:t>3</w:t>
      </w:r>
      <w:r w:rsidR="002D7230">
        <w:t xml:space="preserve">: </w:t>
      </w:r>
      <w:r w:rsidR="002D7230" w:rsidRPr="009B37CD">
        <w:t xml:space="preserve">Correlation between calculated </w:t>
      </w:r>
      <w:r w:rsidR="00B70DA2">
        <w:t>S-OI</w:t>
      </w:r>
      <w:r w:rsidR="002D7230" w:rsidRPr="009B37CD">
        <w:t xml:space="preserve"> values and Odour concentration</w:t>
      </w:r>
      <w:r w:rsidR="007D004F">
        <w:t xml:space="preserve">s obtained </w:t>
      </w:r>
      <w:r>
        <w:t>in</w:t>
      </w:r>
      <w:r w:rsidR="007D004F">
        <w:t xml:space="preserve"> the </w:t>
      </w:r>
      <w:r w:rsidR="002D7BD9">
        <w:t>3</w:t>
      </w:r>
      <w:r w:rsidR="007D004F">
        <w:t xml:space="preserve"> campaigns</w:t>
      </w:r>
    </w:p>
    <w:p w14:paraId="11073D90" w14:textId="308255D0" w:rsidR="008159F3" w:rsidRPr="008159F3" w:rsidRDefault="008C1A01" w:rsidP="008159F3">
      <w:pPr>
        <w:pStyle w:val="CETBodytext"/>
        <w:rPr>
          <w:lang w:val="en-GB"/>
        </w:rPr>
      </w:pPr>
      <w:r w:rsidRPr="008C1A01">
        <w:rPr>
          <w:lang w:val="en-GB"/>
        </w:rPr>
        <w:t>The following figure shows two example Vigi eNose</w:t>
      </w:r>
      <w:r w:rsidRPr="008C1A01">
        <w:rPr>
          <w:vertAlign w:val="superscript"/>
          <w:lang w:val="en-GB"/>
        </w:rPr>
        <w:t>®</w:t>
      </w:r>
      <w:r w:rsidRPr="008C1A01">
        <w:rPr>
          <w:lang w:val="en-GB"/>
        </w:rPr>
        <w:t xml:space="preserve"> chromatograms corresponding to samples from the Biological Reactor and the Sludge Scrubber outlet, respectively.</w:t>
      </w:r>
    </w:p>
    <w:p w14:paraId="5DC7DF7E" w14:textId="77777777" w:rsidR="00A40266" w:rsidRDefault="008159F3" w:rsidP="008159F3">
      <w:pPr>
        <w:pStyle w:val="CETCaption"/>
      </w:pPr>
      <w:r>
        <w:rPr>
          <w:noProof/>
        </w:rPr>
        <w:drawing>
          <wp:inline distT="0" distB="0" distL="0" distR="0" wp14:anchorId="6BF76F88" wp14:editId="32A86D1A">
            <wp:extent cx="4489643" cy="180000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9643" cy="1800000"/>
                    </a:xfrm>
                    <a:prstGeom prst="rect">
                      <a:avLst/>
                    </a:prstGeom>
                    <a:noFill/>
                  </pic:spPr>
                </pic:pic>
              </a:graphicData>
            </a:graphic>
          </wp:inline>
        </w:drawing>
      </w:r>
    </w:p>
    <w:p w14:paraId="6AF31D9E" w14:textId="22FF9EE4" w:rsidR="00B632BD" w:rsidRDefault="008C1A01" w:rsidP="008159F3">
      <w:pPr>
        <w:pStyle w:val="CETCaption"/>
      </w:pPr>
      <w:r w:rsidRPr="008C1A01">
        <w:t xml:space="preserve">Figure </w:t>
      </w:r>
      <w:r w:rsidR="00C211BD">
        <w:t>4</w:t>
      </w:r>
      <w:r w:rsidRPr="008C1A01">
        <w:t>: Examples of chromatograms obtained with the Vigi eNose</w:t>
      </w:r>
      <w:r w:rsidRPr="008C1A01">
        <w:rPr>
          <w:vertAlign w:val="superscript"/>
        </w:rPr>
        <w:t>®</w:t>
      </w:r>
      <w:r w:rsidRPr="008C1A01">
        <w:t xml:space="preserve"> system corresponding to a sample from the Biological Reactor (left) and the Sludge Scrubber outlet (right)</w:t>
      </w:r>
      <w:r w:rsidR="008F5294">
        <w:t>.</w:t>
      </w:r>
    </w:p>
    <w:p w14:paraId="68D26B83" w14:textId="77777777" w:rsidR="00600535" w:rsidRPr="00B57B36" w:rsidRDefault="00600535" w:rsidP="00600535">
      <w:pPr>
        <w:pStyle w:val="CETHeading1"/>
        <w:rPr>
          <w:lang w:val="en-GB"/>
        </w:rPr>
      </w:pPr>
      <w:r w:rsidRPr="00B57B36">
        <w:rPr>
          <w:lang w:val="en-GB"/>
        </w:rPr>
        <w:lastRenderedPageBreak/>
        <w:t>Conclusions</w:t>
      </w:r>
    </w:p>
    <w:p w14:paraId="6E619282" w14:textId="77777777" w:rsidR="008C1A01" w:rsidRPr="008C1A01" w:rsidRDefault="008C1A01" w:rsidP="008C1A01">
      <w:pPr>
        <w:pStyle w:val="CETBodytext"/>
        <w:rPr>
          <w:lang w:val="en-GB"/>
        </w:rPr>
      </w:pPr>
      <w:r w:rsidRPr="008C1A01">
        <w:rPr>
          <w:lang w:val="en-GB"/>
        </w:rPr>
        <w:t>Low cost H</w:t>
      </w:r>
      <w:r w:rsidRPr="008C1A01">
        <w:rPr>
          <w:vertAlign w:val="subscript"/>
          <w:lang w:val="en-GB"/>
        </w:rPr>
        <w:t>2</w:t>
      </w:r>
      <w:r w:rsidRPr="008C1A01">
        <w:rPr>
          <w:lang w:val="en-GB"/>
        </w:rPr>
        <w:t>S sensors, on one hand, do not sufficiently express the complexity of WWTP emissions with regards to odour and, on the other hand, as is also the case with e-Noses, they do not have sufficient sensitivity to determine H</w:t>
      </w:r>
      <w:r w:rsidRPr="008C1A01">
        <w:rPr>
          <w:vertAlign w:val="subscript"/>
          <w:lang w:val="en-GB"/>
        </w:rPr>
        <w:t>2</w:t>
      </w:r>
      <w:r w:rsidRPr="008C1A01">
        <w:rPr>
          <w:lang w:val="en-GB"/>
        </w:rPr>
        <w:t>S or the immission odour concentration at the location of the receptors at levels comparable to the required odour concentration limits. Furthermore, these types of sensors are generally not designed to perform continuous measurements on emission sources and, therefore, it is not possible to obtain immission results by means of online modelling.</w:t>
      </w:r>
    </w:p>
    <w:p w14:paraId="303E661C" w14:textId="77777777" w:rsidR="008C1A01" w:rsidRPr="008C1A01" w:rsidRDefault="008C1A01" w:rsidP="008C1A01">
      <w:pPr>
        <w:pStyle w:val="CETBodytext"/>
        <w:rPr>
          <w:lang w:val="en-GB"/>
        </w:rPr>
      </w:pPr>
      <w:r w:rsidRPr="008C1A01">
        <w:rPr>
          <w:lang w:val="en-GB"/>
        </w:rPr>
        <w:t>The results show that the Vigi eNose</w:t>
      </w:r>
      <w:r w:rsidRPr="008C1A01">
        <w:rPr>
          <w:vertAlign w:val="superscript"/>
          <w:lang w:val="en-GB"/>
        </w:rPr>
        <w:t>®</w:t>
      </w:r>
      <w:r w:rsidRPr="008C1A01">
        <w:rPr>
          <w:lang w:val="en-GB"/>
        </w:rPr>
        <w:t xml:space="preserve"> system is capable of high sensitivity sequential real-time monitoring of odour emissions from different sources at the San Jerónimo WWTP, and also of analysing immission samples at low-ppbv levels.</w:t>
      </w:r>
    </w:p>
    <w:p w14:paraId="64E014C4" w14:textId="77777777" w:rsidR="008C1A01" w:rsidRPr="008C1A01" w:rsidRDefault="008C1A01" w:rsidP="008C1A01">
      <w:pPr>
        <w:pStyle w:val="CETBodytext"/>
        <w:rPr>
          <w:lang w:val="en-GB"/>
        </w:rPr>
      </w:pPr>
      <w:r w:rsidRPr="008C1A01">
        <w:rPr>
          <w:lang w:val="en-GB"/>
        </w:rPr>
        <w:t>The results were found to be equivalent to those obtained by the other analytical methods that were applied throughout the 3 campaigns. Moreover, the performance of the system represents an improvement over that of other sensor solutions for sensitivity and chemical speciation of the odorants. This is particularly helpful in cases where the main odoriferous substances in the emissions are VSCs, such as WWTPs, landfills, rendering plants and other facilities.</w:t>
      </w:r>
    </w:p>
    <w:p w14:paraId="55F9E1FE" w14:textId="7901F254" w:rsidR="00A1202E" w:rsidRPr="00B57B36" w:rsidRDefault="008C1A01" w:rsidP="008C1A01">
      <w:pPr>
        <w:pStyle w:val="CETBodytext"/>
        <w:rPr>
          <w:lang w:val="en-GB"/>
        </w:rPr>
      </w:pPr>
      <w:r w:rsidRPr="008C1A01">
        <w:rPr>
          <w:lang w:val="en-GB"/>
        </w:rPr>
        <w:t>It must be also pointed out that the data shows a significant correlation between the S-OI values calculated from the Vigi eNose</w:t>
      </w:r>
      <w:r w:rsidRPr="008C1A01">
        <w:rPr>
          <w:vertAlign w:val="superscript"/>
          <w:lang w:val="en-GB"/>
        </w:rPr>
        <w:t>®</w:t>
      </w:r>
      <w:r w:rsidRPr="008C1A01">
        <w:rPr>
          <w:lang w:val="en-GB"/>
        </w:rPr>
        <w:t xml:space="preserve"> results and the odour concentrations determined by Dynamic Olfactometry.</w:t>
      </w:r>
    </w:p>
    <w:p w14:paraId="4F1327F8" w14:textId="77777777" w:rsidR="00600535" w:rsidRPr="00B57B36" w:rsidRDefault="00600535" w:rsidP="00600535">
      <w:pPr>
        <w:pStyle w:val="CETReference"/>
      </w:pPr>
      <w:r w:rsidRPr="00B57B36">
        <w:t>References</w:t>
      </w:r>
    </w:p>
    <w:p w14:paraId="3A71C97D" w14:textId="5C08765D" w:rsidR="00A86058" w:rsidRDefault="00A86058" w:rsidP="002D7230">
      <w:pPr>
        <w:pStyle w:val="CETReferencetext"/>
      </w:pPr>
      <w:r>
        <w:t xml:space="preserve">Almarcha D., Almarcha M., Jiménez-Coloma E., Vidal L., Puigcercós M., Barrutiabengoa I., 2014, </w:t>
      </w:r>
      <w:r w:rsidRPr="00A86058">
        <w:t>Treatment Efficiency by means of a Nonthermal Plasma Combined with Heterogeneous Catalysis of Odoriferous Volatile Organic Compounds Emissions from the Thermal Drying of Landfill Leachates</w:t>
      </w:r>
      <w:r>
        <w:t>, Journal of Engineering 2014 (6)</w:t>
      </w:r>
      <w:r w:rsidR="00655162">
        <w:t>.</w:t>
      </w:r>
    </w:p>
    <w:p w14:paraId="5CFB755B" w14:textId="2ADF8545" w:rsidR="00CC162C" w:rsidRDefault="00CC162C" w:rsidP="002D7230">
      <w:pPr>
        <w:pStyle w:val="CETReferencetext"/>
      </w:pPr>
      <w:r>
        <w:t xml:space="preserve">Amiet J.P., Vivola L., 2014, Continuous Monitoring of Odourous Compounds in Waste Water Treatment Plants - Sensory approach or Physico-chemical solution? </w:t>
      </w:r>
      <w:r w:rsidRPr="00655162">
        <w:t>Envirotech-online</w:t>
      </w:r>
      <w:r w:rsidR="00655162" w:rsidRPr="00655162">
        <w:t xml:space="preserve"> &lt;envirotech-online.com/article/water-wastewater/9/chromatotec/continuous-monitoring-of-odourous-compounds-in-waste-water-treatment-plants-sensory-approach-or-physico-chemical-solution/1716</w:t>
      </w:r>
      <w:r w:rsidR="00655162">
        <w:t>&gt; accessed 13.04.2022.</w:t>
      </w:r>
    </w:p>
    <w:p w14:paraId="4F35297C" w14:textId="4BB1C6DE" w:rsidR="002D7230" w:rsidRDefault="002D7230" w:rsidP="002D7230">
      <w:pPr>
        <w:pStyle w:val="CETReferencetext"/>
      </w:pPr>
      <w:r>
        <w:t>Anneli A</w:t>
      </w:r>
      <w:r w:rsidR="005B2FD2">
        <w:t>.</w:t>
      </w:r>
      <w:r>
        <w:t xml:space="preserve"> C</w:t>
      </w:r>
      <w:r w:rsidR="005B2FD2">
        <w:t>.</w:t>
      </w:r>
      <w:r>
        <w:t xml:space="preserve">, Hanæus </w:t>
      </w:r>
      <w:r w:rsidR="00A324D9">
        <w:t xml:space="preserve">J., </w:t>
      </w:r>
      <w:r>
        <w:t>2006, Odorous Wastewater Emissions, Vatten, 62, 227–236</w:t>
      </w:r>
      <w:r w:rsidR="00655162">
        <w:t>.</w:t>
      </w:r>
    </w:p>
    <w:p w14:paraId="3DB80A2F" w14:textId="7E2720DD" w:rsidR="00CC162C" w:rsidRDefault="00CC162C" w:rsidP="00CC162C">
      <w:pPr>
        <w:pStyle w:val="CETReferencetext"/>
      </w:pPr>
      <w:r>
        <w:t>Bax C., Sironi S., Capelli L., 2020, How Can Odors Be Measured? An Overview of Methods and Their Applications, Atmosphere, 11, 92</w:t>
      </w:r>
      <w:r w:rsidR="00655162">
        <w:t>.</w:t>
      </w:r>
    </w:p>
    <w:p w14:paraId="45855B9A" w14:textId="3D76C1D8" w:rsidR="002D7230" w:rsidRDefault="002D7230" w:rsidP="002D7230">
      <w:pPr>
        <w:pStyle w:val="CETReferencetext"/>
      </w:pPr>
      <w:r>
        <w:t xml:space="preserve">Capelli L., Sironi S., Del Rosso R., </w:t>
      </w:r>
      <w:r w:rsidRPr="00655162">
        <w:t>Céntola P., Il Grande M., 2008</w:t>
      </w:r>
      <w:r w:rsidR="00A86058" w:rsidRPr="00655162">
        <w:t>,</w:t>
      </w:r>
      <w:r w:rsidRPr="00655162">
        <w:t xml:space="preserve"> A comparative and critical evaluation odour assessment methods on a landfill site</w:t>
      </w:r>
      <w:r w:rsidR="00655162" w:rsidRPr="00655162">
        <w:t xml:space="preserve">, </w:t>
      </w:r>
      <w:r w:rsidRPr="00655162">
        <w:t>Atmos</w:t>
      </w:r>
      <w:r w:rsidR="00655162" w:rsidRPr="00655162">
        <w:t>pheric</w:t>
      </w:r>
      <w:r w:rsidRPr="00655162">
        <w:t xml:space="preserve"> Environ</w:t>
      </w:r>
      <w:r w:rsidR="00655162" w:rsidRPr="00655162">
        <w:t>ment,</w:t>
      </w:r>
      <w:r w:rsidRPr="00655162">
        <w:t xml:space="preserve"> 42, 7050</w:t>
      </w:r>
      <w:r>
        <w:t>-7058.</w:t>
      </w:r>
    </w:p>
    <w:p w14:paraId="2B41D759" w14:textId="76D418EF" w:rsidR="00CC162C" w:rsidRDefault="00CC162C" w:rsidP="00CC162C">
      <w:pPr>
        <w:pStyle w:val="CETReferencetext"/>
      </w:pPr>
      <w:r>
        <w:t>Choi H.L., Shin J., Kim H., 2012, Evaluation of the Effectiveness of Five Odor Reducing Agents for Sewer System Odors Using an Online Total Reduced Sulfur Analyzer, Sensors, 12, 16892-16906</w:t>
      </w:r>
      <w:r w:rsidR="00655162">
        <w:t>.</w:t>
      </w:r>
    </w:p>
    <w:p w14:paraId="1DF7BD19" w14:textId="41CD73E6" w:rsidR="00CC162C" w:rsidRDefault="00CC162C" w:rsidP="00CC162C">
      <w:pPr>
        <w:pStyle w:val="CETReferencetext"/>
      </w:pPr>
      <w:r>
        <w:t>Hashisho Z., Small C.C., Morshed G., 2012</w:t>
      </w:r>
      <w:r w:rsidR="00A86058">
        <w:t>,</w:t>
      </w:r>
      <w:r>
        <w:t xml:space="preserve"> Review of Technologies for the Characterization and monitoring of VOCs, Reduced Sulphur Compounds and CH</w:t>
      </w:r>
      <w:r w:rsidRPr="00655162">
        <w:rPr>
          <w:vertAlign w:val="subscript"/>
        </w:rPr>
        <w:t>4</w:t>
      </w:r>
      <w:r>
        <w:t>.Oil Sands Research and Information Network, University of Alberta, School of Energy and the Environment, Edmonton, Alberta. OSRIN Report No. TR-19</w:t>
      </w:r>
      <w:r w:rsidR="00655162">
        <w:t>.</w:t>
      </w:r>
    </w:p>
    <w:p w14:paraId="28180FD1" w14:textId="01E407C4" w:rsidR="002D7230" w:rsidRDefault="002D7230" w:rsidP="00A324D9">
      <w:pPr>
        <w:pStyle w:val="CETReferencetext"/>
      </w:pPr>
      <w:r>
        <w:t>Jeon</w:t>
      </w:r>
      <w:r w:rsidR="00A324D9">
        <w:t xml:space="preserve"> E.</w:t>
      </w:r>
      <w:r>
        <w:t>, Son</w:t>
      </w:r>
      <w:r w:rsidR="00A324D9">
        <w:t xml:space="preserve"> H.</w:t>
      </w:r>
      <w:r>
        <w:t>, Sa</w:t>
      </w:r>
      <w:r w:rsidR="00A324D9">
        <w:t xml:space="preserve"> J.</w:t>
      </w:r>
      <w:r>
        <w:t>, 2009, Emission Characteristics and Factors of Selected Odorous Compounds at a Wastewater Treatment Plant, Sensors, 9, 311-326</w:t>
      </w:r>
      <w:r w:rsidR="00655162">
        <w:t>.</w:t>
      </w:r>
    </w:p>
    <w:p w14:paraId="173DADB9" w14:textId="240A8913" w:rsidR="005E7B4F" w:rsidRDefault="005E7B4F" w:rsidP="00A324D9">
      <w:pPr>
        <w:pStyle w:val="CETReferencetext"/>
      </w:pPr>
      <w:r>
        <w:t>Kabir E., Kim K.H., Ahn J.W., Hong O.F., Chang Y.S.,</w:t>
      </w:r>
      <w:r w:rsidR="00A86058">
        <w:t xml:space="preserve"> 2010,</w:t>
      </w:r>
      <w:r>
        <w:t xml:space="preserve"> </w:t>
      </w:r>
      <w:r w:rsidRPr="005E7B4F">
        <w:t>Offensive odorants released from stormwater catch basins (SCB) in an urban area</w:t>
      </w:r>
      <w:r>
        <w:t xml:space="preserve">, </w:t>
      </w:r>
      <w:r w:rsidRPr="005E7B4F">
        <w:t>Chemosphere 81 327–338</w:t>
      </w:r>
      <w:r w:rsidR="00655162">
        <w:t>.</w:t>
      </w:r>
    </w:p>
    <w:p w14:paraId="2C14868C" w14:textId="43397173" w:rsidR="008B4CAB" w:rsidRDefault="008B4CAB" w:rsidP="008B4CAB">
      <w:pPr>
        <w:pStyle w:val="CETReferencetext"/>
      </w:pPr>
      <w:r>
        <w:t xml:space="preserve">Li W., Yang W., Li J., </w:t>
      </w:r>
      <w:r w:rsidR="00A86058">
        <w:t xml:space="preserve">2017, </w:t>
      </w:r>
      <w:r>
        <w:t xml:space="preserve">Characterization and prediction of odours from municipal sewage treatment plant, Water Science &amp; Technology, </w:t>
      </w:r>
      <w:r w:rsidRPr="008B4CAB">
        <w:t>(3): 762–769</w:t>
      </w:r>
      <w:r w:rsidR="00655162">
        <w:t>.</w:t>
      </w:r>
    </w:p>
    <w:p w14:paraId="3E239BD8" w14:textId="0DC22791" w:rsidR="002D7230" w:rsidRDefault="002D7230" w:rsidP="002D7230">
      <w:pPr>
        <w:pStyle w:val="CETReferencetext"/>
      </w:pPr>
      <w:r>
        <w:t>Muñoz</w:t>
      </w:r>
      <w:r w:rsidR="00A324D9">
        <w:t xml:space="preserve"> R.</w:t>
      </w:r>
      <w:r>
        <w:t>, Sivret</w:t>
      </w:r>
      <w:r w:rsidR="00A324D9">
        <w:t xml:space="preserve"> E.C.</w:t>
      </w:r>
      <w:r>
        <w:t>, Parcsi</w:t>
      </w:r>
      <w:r w:rsidR="00A324D9">
        <w:t xml:space="preserve"> G.</w:t>
      </w:r>
      <w:r>
        <w:t>, Lebrero</w:t>
      </w:r>
      <w:r w:rsidR="00A324D9">
        <w:t xml:space="preserve"> R.</w:t>
      </w:r>
      <w:r>
        <w:t>, Wang</w:t>
      </w:r>
      <w:r w:rsidR="00A324D9">
        <w:t xml:space="preserve"> X.</w:t>
      </w:r>
      <w:r>
        <w:t>, Suffet</w:t>
      </w:r>
      <w:r w:rsidR="00A324D9">
        <w:t xml:space="preserve"> I.H.</w:t>
      </w:r>
      <w:r>
        <w:t>, Stuetz</w:t>
      </w:r>
      <w:r w:rsidR="00A324D9">
        <w:t xml:space="preserve"> R.M.</w:t>
      </w:r>
      <w:r>
        <w:t>, 2010, Monitoring techniques for odour abatement assessment, Water Research, 44, 5129-5149</w:t>
      </w:r>
      <w:r w:rsidR="00655162">
        <w:t>.</w:t>
      </w:r>
    </w:p>
    <w:p w14:paraId="0B51D1A9" w14:textId="6C749088" w:rsidR="00CC162C" w:rsidRDefault="00CC162C" w:rsidP="00CC162C">
      <w:pPr>
        <w:pStyle w:val="CETReferencetext"/>
      </w:pPr>
      <w:r>
        <w:t xml:space="preserve">Nagata E., Yoshio Y., 2003, </w:t>
      </w:r>
      <w:r w:rsidRPr="00CC162C">
        <w:t>Measurement of Odor Threshold by Triangular Odor Bag</w:t>
      </w:r>
      <w:r>
        <w:t>, Japan Ministry of the Environment, Tokyo, pp. 118-127</w:t>
      </w:r>
      <w:r w:rsidR="00655162">
        <w:t>.</w:t>
      </w:r>
    </w:p>
    <w:p w14:paraId="68FA10E3" w14:textId="4ED9ADB6" w:rsidR="008B4CAB" w:rsidRDefault="008B4CAB" w:rsidP="008B4CAB">
      <w:pPr>
        <w:pStyle w:val="CETReferencetext"/>
      </w:pPr>
      <w:r>
        <w:t>Ruth J.H.,</w:t>
      </w:r>
      <w:r w:rsidR="00A86058">
        <w:t xml:space="preserve"> 1986,</w:t>
      </w:r>
      <w:r>
        <w:t xml:space="preserve"> </w:t>
      </w:r>
      <w:r w:rsidRPr="008B4CAB">
        <w:t>Odor thresholds and irritation levels of several chemical substances: a review</w:t>
      </w:r>
      <w:r>
        <w:t>, American Industrial Hygiene Association Journal, 47(3):A142-51</w:t>
      </w:r>
      <w:r w:rsidR="00655162">
        <w:t>.</w:t>
      </w:r>
    </w:p>
    <w:p w14:paraId="364A7232" w14:textId="0FEA0626" w:rsidR="00F53910" w:rsidRDefault="005E7B4F" w:rsidP="00F53910">
      <w:pPr>
        <w:pStyle w:val="CETReferencetext"/>
      </w:pPr>
      <w:r>
        <w:t xml:space="preserve">Susaya J., Kim K.H., Phan N.T., Kim J.C., </w:t>
      </w:r>
      <w:r w:rsidR="00A86058">
        <w:t xml:space="preserve">2011, </w:t>
      </w:r>
      <w:r w:rsidR="00F53910">
        <w:t>Assessment of reduced sulfur compounds in ambient air as malodor components in an urban area</w:t>
      </w:r>
      <w:r>
        <w:t>,</w:t>
      </w:r>
      <w:r w:rsidRPr="005E7B4F">
        <w:t xml:space="preserve"> Atmospheric Environment 45</w:t>
      </w:r>
      <w:r w:rsidR="00A86058">
        <w:t>,</w:t>
      </w:r>
      <w:r w:rsidRPr="005E7B4F">
        <w:t xml:space="preserve"> 3381</w:t>
      </w:r>
      <w:r>
        <w:t>-</w:t>
      </w:r>
      <w:r w:rsidRPr="005E7B4F">
        <w:t>3390</w:t>
      </w:r>
      <w:r w:rsidR="00655162">
        <w:t>.</w:t>
      </w:r>
    </w:p>
    <w:p w14:paraId="7697F4DB" w14:textId="613732A9" w:rsidR="00A32E66" w:rsidRDefault="002D7230" w:rsidP="00A32E66">
      <w:pPr>
        <w:pStyle w:val="CETReferencetext"/>
      </w:pPr>
      <w:r>
        <w:t>Van Harreveld</w:t>
      </w:r>
      <w:r w:rsidR="000B6949">
        <w:t xml:space="preserve"> A.P.</w:t>
      </w:r>
      <w:r>
        <w:t>, 2012, The need for continuous odour monitoring techniques in odour management and currently available technical solutions, Chemical Engineering Transactions, 30, pp. 37-42</w:t>
      </w:r>
      <w:r w:rsidR="00A32E66">
        <w:t xml:space="preserve"> </w:t>
      </w:r>
      <w:r>
        <w:t>Il</w:t>
      </w:r>
      <w:r w:rsidR="00655162">
        <w:t>.</w:t>
      </w:r>
    </w:p>
    <w:p w14:paraId="4EBCE680" w14:textId="2E3C16F9" w:rsidR="005E7B4F" w:rsidRDefault="005E7B4F" w:rsidP="00655162">
      <w:pPr>
        <w:pStyle w:val="CETReferencetext"/>
      </w:pPr>
      <w:r>
        <w:t xml:space="preserve">Wu C., Liu J., Zhao P., Piringer M., Schauberger G., </w:t>
      </w:r>
      <w:r w:rsidR="00A86058">
        <w:t xml:space="preserve">2016, </w:t>
      </w:r>
      <w:r>
        <w:t xml:space="preserve">Determination of the Odour Concentration and Odour Intensity of a Mixture of Odorous Substances by Chemical Concentrations: a Comparison of Methods, Chemical Engineering Transactions, </w:t>
      </w:r>
      <w:r w:rsidR="00A86058">
        <w:t>54: 97-102</w:t>
      </w:r>
      <w:r w:rsidR="00655162">
        <w:t>.</w:t>
      </w:r>
    </w:p>
    <w:sectPr w:rsidR="005E7B4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845B" w14:textId="77777777" w:rsidR="000D7747" w:rsidRDefault="000D7747" w:rsidP="004F5E36">
      <w:r>
        <w:separator/>
      </w:r>
    </w:p>
  </w:endnote>
  <w:endnote w:type="continuationSeparator" w:id="0">
    <w:p w14:paraId="55C879EE" w14:textId="77777777" w:rsidR="000D7747" w:rsidRDefault="000D77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4DDA" w14:textId="77777777" w:rsidR="000D7747" w:rsidRDefault="000D7747" w:rsidP="004F5E36">
      <w:r>
        <w:separator/>
      </w:r>
    </w:p>
  </w:footnote>
  <w:footnote w:type="continuationSeparator" w:id="0">
    <w:p w14:paraId="01CE95C9" w14:textId="77777777" w:rsidR="000D7747" w:rsidRDefault="000D774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u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5507997">
    <w:abstractNumId w:val="10"/>
  </w:num>
  <w:num w:numId="2" w16cid:durableId="1934127447">
    <w:abstractNumId w:val="8"/>
  </w:num>
  <w:num w:numId="3" w16cid:durableId="1763990147">
    <w:abstractNumId w:val="3"/>
  </w:num>
  <w:num w:numId="4" w16cid:durableId="1010912202">
    <w:abstractNumId w:val="2"/>
  </w:num>
  <w:num w:numId="5" w16cid:durableId="318584668">
    <w:abstractNumId w:val="1"/>
  </w:num>
  <w:num w:numId="6" w16cid:durableId="1693607272">
    <w:abstractNumId w:val="0"/>
  </w:num>
  <w:num w:numId="7" w16cid:durableId="936328655">
    <w:abstractNumId w:val="9"/>
  </w:num>
  <w:num w:numId="8" w16cid:durableId="1003554590">
    <w:abstractNumId w:val="7"/>
  </w:num>
  <w:num w:numId="9" w16cid:durableId="838274902">
    <w:abstractNumId w:val="6"/>
  </w:num>
  <w:num w:numId="10" w16cid:durableId="56249376">
    <w:abstractNumId w:val="5"/>
  </w:num>
  <w:num w:numId="11" w16cid:durableId="1334841509">
    <w:abstractNumId w:val="4"/>
  </w:num>
  <w:num w:numId="12" w16cid:durableId="988706103">
    <w:abstractNumId w:val="16"/>
  </w:num>
  <w:num w:numId="13" w16cid:durableId="588583396">
    <w:abstractNumId w:val="12"/>
  </w:num>
  <w:num w:numId="14" w16cid:durableId="161746552">
    <w:abstractNumId w:val="17"/>
  </w:num>
  <w:num w:numId="15" w16cid:durableId="771164734">
    <w:abstractNumId w:val="19"/>
  </w:num>
  <w:num w:numId="16" w16cid:durableId="984747821">
    <w:abstractNumId w:val="18"/>
  </w:num>
  <w:num w:numId="17" w16cid:durableId="884946003">
    <w:abstractNumId w:val="11"/>
  </w:num>
  <w:num w:numId="18" w16cid:durableId="829520161">
    <w:abstractNumId w:val="12"/>
    <w:lvlOverride w:ilvl="0">
      <w:startOverride w:val="1"/>
    </w:lvlOverride>
  </w:num>
  <w:num w:numId="19" w16cid:durableId="1088386911">
    <w:abstractNumId w:val="15"/>
  </w:num>
  <w:num w:numId="20" w16cid:durableId="345061638">
    <w:abstractNumId w:val="14"/>
  </w:num>
  <w:num w:numId="21" w16cid:durableId="1807967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1F9"/>
    <w:rsid w:val="0003148D"/>
    <w:rsid w:val="00051566"/>
    <w:rsid w:val="00062A9A"/>
    <w:rsid w:val="00065058"/>
    <w:rsid w:val="00066427"/>
    <w:rsid w:val="00070C59"/>
    <w:rsid w:val="00084040"/>
    <w:rsid w:val="00086C39"/>
    <w:rsid w:val="000A03B2"/>
    <w:rsid w:val="000B6949"/>
    <w:rsid w:val="000D34BE"/>
    <w:rsid w:val="000D7747"/>
    <w:rsid w:val="000E102F"/>
    <w:rsid w:val="000E36F1"/>
    <w:rsid w:val="000E3A73"/>
    <w:rsid w:val="000E414A"/>
    <w:rsid w:val="000F093C"/>
    <w:rsid w:val="000F7146"/>
    <w:rsid w:val="000F787B"/>
    <w:rsid w:val="0012091F"/>
    <w:rsid w:val="00126BC2"/>
    <w:rsid w:val="001308B6"/>
    <w:rsid w:val="0013121F"/>
    <w:rsid w:val="00131FE6"/>
    <w:rsid w:val="0013263F"/>
    <w:rsid w:val="00132AC1"/>
    <w:rsid w:val="00134DE4"/>
    <w:rsid w:val="0014034D"/>
    <w:rsid w:val="0014464F"/>
    <w:rsid w:val="00150E59"/>
    <w:rsid w:val="00152DE3"/>
    <w:rsid w:val="00155D83"/>
    <w:rsid w:val="0015795B"/>
    <w:rsid w:val="00160010"/>
    <w:rsid w:val="00164CF9"/>
    <w:rsid w:val="001701B3"/>
    <w:rsid w:val="00180860"/>
    <w:rsid w:val="00184AD6"/>
    <w:rsid w:val="001A5B78"/>
    <w:rsid w:val="001B0349"/>
    <w:rsid w:val="001B65C1"/>
    <w:rsid w:val="001C684B"/>
    <w:rsid w:val="001D53FC"/>
    <w:rsid w:val="001E3155"/>
    <w:rsid w:val="001F42A5"/>
    <w:rsid w:val="001F7B9D"/>
    <w:rsid w:val="00212F7B"/>
    <w:rsid w:val="002224B4"/>
    <w:rsid w:val="002447EF"/>
    <w:rsid w:val="002473D0"/>
    <w:rsid w:val="00251550"/>
    <w:rsid w:val="00263B05"/>
    <w:rsid w:val="0027221A"/>
    <w:rsid w:val="00275B61"/>
    <w:rsid w:val="00282656"/>
    <w:rsid w:val="002864DA"/>
    <w:rsid w:val="00296B83"/>
    <w:rsid w:val="002B398F"/>
    <w:rsid w:val="002B5462"/>
    <w:rsid w:val="002B78CE"/>
    <w:rsid w:val="002C2FB6"/>
    <w:rsid w:val="002D7230"/>
    <w:rsid w:val="002D7BD9"/>
    <w:rsid w:val="003009B7"/>
    <w:rsid w:val="00300E56"/>
    <w:rsid w:val="0030469C"/>
    <w:rsid w:val="00321CA6"/>
    <w:rsid w:val="0032429B"/>
    <w:rsid w:val="00334C09"/>
    <w:rsid w:val="003723D4"/>
    <w:rsid w:val="00383F4B"/>
    <w:rsid w:val="00384CC8"/>
    <w:rsid w:val="003871FD"/>
    <w:rsid w:val="00396C7D"/>
    <w:rsid w:val="003A1E30"/>
    <w:rsid w:val="003A7D1C"/>
    <w:rsid w:val="003B304B"/>
    <w:rsid w:val="003B3146"/>
    <w:rsid w:val="003E0669"/>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C3D1D"/>
    <w:rsid w:val="004C7913"/>
    <w:rsid w:val="004E4DD6"/>
    <w:rsid w:val="004F5E36"/>
    <w:rsid w:val="00507B47"/>
    <w:rsid w:val="00507CC9"/>
    <w:rsid w:val="005119A5"/>
    <w:rsid w:val="00516D93"/>
    <w:rsid w:val="0052039D"/>
    <w:rsid w:val="0052510E"/>
    <w:rsid w:val="005278B7"/>
    <w:rsid w:val="00532016"/>
    <w:rsid w:val="005346C8"/>
    <w:rsid w:val="00543E7D"/>
    <w:rsid w:val="00547A68"/>
    <w:rsid w:val="005531C9"/>
    <w:rsid w:val="0055641A"/>
    <w:rsid w:val="005846EC"/>
    <w:rsid w:val="00584CD8"/>
    <w:rsid w:val="00590642"/>
    <w:rsid w:val="005A3E9C"/>
    <w:rsid w:val="005B0141"/>
    <w:rsid w:val="005B2110"/>
    <w:rsid w:val="005B2FD2"/>
    <w:rsid w:val="005B61E6"/>
    <w:rsid w:val="005C77E1"/>
    <w:rsid w:val="005D6A2F"/>
    <w:rsid w:val="005E1A82"/>
    <w:rsid w:val="005E2AED"/>
    <w:rsid w:val="005E794C"/>
    <w:rsid w:val="005E7B4F"/>
    <w:rsid w:val="005F0A28"/>
    <w:rsid w:val="005F0E5E"/>
    <w:rsid w:val="00600535"/>
    <w:rsid w:val="0060558A"/>
    <w:rsid w:val="00610CD6"/>
    <w:rsid w:val="00620C11"/>
    <w:rsid w:val="00620DEE"/>
    <w:rsid w:val="00621F92"/>
    <w:rsid w:val="00625639"/>
    <w:rsid w:val="0063065F"/>
    <w:rsid w:val="00631B33"/>
    <w:rsid w:val="0064184D"/>
    <w:rsid w:val="00646B71"/>
    <w:rsid w:val="00655162"/>
    <w:rsid w:val="00655FC7"/>
    <w:rsid w:val="00660E3E"/>
    <w:rsid w:val="00662E74"/>
    <w:rsid w:val="00680C23"/>
    <w:rsid w:val="00693766"/>
    <w:rsid w:val="006A3281"/>
    <w:rsid w:val="006B4888"/>
    <w:rsid w:val="006C2E45"/>
    <w:rsid w:val="006C359C"/>
    <w:rsid w:val="006C5579"/>
    <w:rsid w:val="006E737D"/>
    <w:rsid w:val="00720A24"/>
    <w:rsid w:val="00732386"/>
    <w:rsid w:val="007447F3"/>
    <w:rsid w:val="0075499F"/>
    <w:rsid w:val="007661C8"/>
    <w:rsid w:val="0077098D"/>
    <w:rsid w:val="007A7BBA"/>
    <w:rsid w:val="007B0C50"/>
    <w:rsid w:val="007C1A43"/>
    <w:rsid w:val="007D004F"/>
    <w:rsid w:val="00813288"/>
    <w:rsid w:val="008159F3"/>
    <w:rsid w:val="008168FC"/>
    <w:rsid w:val="00830996"/>
    <w:rsid w:val="008345F1"/>
    <w:rsid w:val="00834D17"/>
    <w:rsid w:val="00852325"/>
    <w:rsid w:val="00865B07"/>
    <w:rsid w:val="008667EA"/>
    <w:rsid w:val="00873D70"/>
    <w:rsid w:val="0087637F"/>
    <w:rsid w:val="00892AD5"/>
    <w:rsid w:val="00894EAF"/>
    <w:rsid w:val="00897E1D"/>
    <w:rsid w:val="008A1512"/>
    <w:rsid w:val="008B4CAB"/>
    <w:rsid w:val="008C17E4"/>
    <w:rsid w:val="008C1A01"/>
    <w:rsid w:val="008C2A9A"/>
    <w:rsid w:val="008D433B"/>
    <w:rsid w:val="008E566E"/>
    <w:rsid w:val="008F5294"/>
    <w:rsid w:val="0090161A"/>
    <w:rsid w:val="00901EB6"/>
    <w:rsid w:val="00904C62"/>
    <w:rsid w:val="00906E6A"/>
    <w:rsid w:val="00924DAC"/>
    <w:rsid w:val="00927058"/>
    <w:rsid w:val="009450CE"/>
    <w:rsid w:val="00947179"/>
    <w:rsid w:val="0095164B"/>
    <w:rsid w:val="00954090"/>
    <w:rsid w:val="009573E7"/>
    <w:rsid w:val="00963E05"/>
    <w:rsid w:val="00967D54"/>
    <w:rsid w:val="00996483"/>
    <w:rsid w:val="00996F5A"/>
    <w:rsid w:val="009A63E1"/>
    <w:rsid w:val="009B041A"/>
    <w:rsid w:val="009B37CD"/>
    <w:rsid w:val="009C7C86"/>
    <w:rsid w:val="009D2FF7"/>
    <w:rsid w:val="009E7884"/>
    <w:rsid w:val="009E788A"/>
    <w:rsid w:val="009F0E08"/>
    <w:rsid w:val="009F7F64"/>
    <w:rsid w:val="00A100EE"/>
    <w:rsid w:val="00A1202E"/>
    <w:rsid w:val="00A1763D"/>
    <w:rsid w:val="00A17CEC"/>
    <w:rsid w:val="00A17E6B"/>
    <w:rsid w:val="00A27EF0"/>
    <w:rsid w:val="00A324D9"/>
    <w:rsid w:val="00A32E66"/>
    <w:rsid w:val="00A40266"/>
    <w:rsid w:val="00A50B20"/>
    <w:rsid w:val="00A51390"/>
    <w:rsid w:val="00A5631E"/>
    <w:rsid w:val="00A60D13"/>
    <w:rsid w:val="00A72745"/>
    <w:rsid w:val="00A76EFC"/>
    <w:rsid w:val="00A86058"/>
    <w:rsid w:val="00A91010"/>
    <w:rsid w:val="00A97F29"/>
    <w:rsid w:val="00AA702E"/>
    <w:rsid w:val="00AB0964"/>
    <w:rsid w:val="00AB5011"/>
    <w:rsid w:val="00AC29DC"/>
    <w:rsid w:val="00AC7368"/>
    <w:rsid w:val="00AD16B9"/>
    <w:rsid w:val="00AE377D"/>
    <w:rsid w:val="00B12E32"/>
    <w:rsid w:val="00B17FBD"/>
    <w:rsid w:val="00B274E7"/>
    <w:rsid w:val="00B315A6"/>
    <w:rsid w:val="00B31813"/>
    <w:rsid w:val="00B33365"/>
    <w:rsid w:val="00B57B36"/>
    <w:rsid w:val="00B632BD"/>
    <w:rsid w:val="00B70DA2"/>
    <w:rsid w:val="00B8686D"/>
    <w:rsid w:val="00B86DCD"/>
    <w:rsid w:val="00B94E5D"/>
    <w:rsid w:val="00BC30C9"/>
    <w:rsid w:val="00BE3E58"/>
    <w:rsid w:val="00BE3F09"/>
    <w:rsid w:val="00BF2E07"/>
    <w:rsid w:val="00C01616"/>
    <w:rsid w:val="00C0162B"/>
    <w:rsid w:val="00C211BD"/>
    <w:rsid w:val="00C26786"/>
    <w:rsid w:val="00C33F2E"/>
    <w:rsid w:val="00C345B1"/>
    <w:rsid w:val="00C40142"/>
    <w:rsid w:val="00C433DB"/>
    <w:rsid w:val="00C50243"/>
    <w:rsid w:val="00C520B4"/>
    <w:rsid w:val="00C57182"/>
    <w:rsid w:val="00C57863"/>
    <w:rsid w:val="00C655FD"/>
    <w:rsid w:val="00C71FB5"/>
    <w:rsid w:val="00C870A8"/>
    <w:rsid w:val="00C91E4F"/>
    <w:rsid w:val="00C929CB"/>
    <w:rsid w:val="00C94434"/>
    <w:rsid w:val="00CA0D75"/>
    <w:rsid w:val="00CA1C95"/>
    <w:rsid w:val="00CA5A9C"/>
    <w:rsid w:val="00CC162C"/>
    <w:rsid w:val="00CD5FE2"/>
    <w:rsid w:val="00CE7C68"/>
    <w:rsid w:val="00D02B4C"/>
    <w:rsid w:val="00D040C4"/>
    <w:rsid w:val="00D36273"/>
    <w:rsid w:val="00D475BF"/>
    <w:rsid w:val="00D57C84"/>
    <w:rsid w:val="00D6057D"/>
    <w:rsid w:val="00D8393B"/>
    <w:rsid w:val="00D84576"/>
    <w:rsid w:val="00D90C56"/>
    <w:rsid w:val="00DA1399"/>
    <w:rsid w:val="00DA24C6"/>
    <w:rsid w:val="00DA4D7B"/>
    <w:rsid w:val="00DA65A9"/>
    <w:rsid w:val="00DE264A"/>
    <w:rsid w:val="00E02D18"/>
    <w:rsid w:val="00E041E7"/>
    <w:rsid w:val="00E17C51"/>
    <w:rsid w:val="00E23CA1"/>
    <w:rsid w:val="00E409A8"/>
    <w:rsid w:val="00E50C12"/>
    <w:rsid w:val="00E644BD"/>
    <w:rsid w:val="00E65B91"/>
    <w:rsid w:val="00E7209D"/>
    <w:rsid w:val="00E77223"/>
    <w:rsid w:val="00E844E7"/>
    <w:rsid w:val="00E8528B"/>
    <w:rsid w:val="00E85B94"/>
    <w:rsid w:val="00E978D0"/>
    <w:rsid w:val="00EA4613"/>
    <w:rsid w:val="00EA7F91"/>
    <w:rsid w:val="00EB1523"/>
    <w:rsid w:val="00EC0E49"/>
    <w:rsid w:val="00EC6199"/>
    <w:rsid w:val="00EE0131"/>
    <w:rsid w:val="00EE5C08"/>
    <w:rsid w:val="00EF2394"/>
    <w:rsid w:val="00EF7C1E"/>
    <w:rsid w:val="00F30C64"/>
    <w:rsid w:val="00F32CDB"/>
    <w:rsid w:val="00F45EF1"/>
    <w:rsid w:val="00F53910"/>
    <w:rsid w:val="00F63A70"/>
    <w:rsid w:val="00FA21D0"/>
    <w:rsid w:val="00FA5F5F"/>
    <w:rsid w:val="00FB730C"/>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7F0F58D-D99C-45B5-86D8-A216F9A7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ol1">
    <w:name w:val="heading 1"/>
    <w:basedOn w:val="CETHeading1"/>
    <w:next w:val="Normal"/>
    <w:link w:val="Ttol1Car"/>
    <w:uiPriority w:val="9"/>
    <w:rsid w:val="004F5E36"/>
    <w:pPr>
      <w:tabs>
        <w:tab w:val="clear" w:pos="360"/>
        <w:tab w:val="right" w:pos="7100"/>
      </w:tabs>
      <w:jc w:val="both"/>
      <w:outlineLvl w:val="0"/>
    </w:pPr>
    <w:rPr>
      <w:lang w:val="en-GB"/>
    </w:rPr>
  </w:style>
  <w:style w:type="paragraph" w:styleId="Ttol2">
    <w:name w:val="heading 2"/>
    <w:basedOn w:val="Normal"/>
    <w:next w:val="Normal"/>
    <w:link w:val="Ttol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ulabsica1">
    <w:name w:val="Table Simple 1"/>
    <w:basedOn w:val="Tau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ernciadecomentari">
    <w:name w:val="annotation reference"/>
    <w:basedOn w:val="Lletraperdefectedelpargraf"/>
    <w:uiPriority w:val="99"/>
    <w:semiHidden/>
    <w:unhideWhenUsed/>
    <w:rsid w:val="004577FE"/>
    <w:rPr>
      <w:sz w:val="16"/>
      <w:szCs w:val="16"/>
    </w:rPr>
  </w:style>
  <w:style w:type="paragraph" w:styleId="Textdeglobus">
    <w:name w:val="Balloon Text"/>
    <w:basedOn w:val="Normal"/>
    <w:link w:val="TextdeglobusCar"/>
    <w:uiPriority w:val="99"/>
    <w:semiHidden/>
    <w:unhideWhenUsed/>
    <w:rsid w:val="000D34BE"/>
    <w:pPr>
      <w:spacing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xtindependent2">
    <w:name w:val="Body Text 2"/>
    <w:basedOn w:val="Normal"/>
    <w:link w:val="Textindependent2Car"/>
    <w:uiPriority w:val="99"/>
    <w:semiHidden/>
    <w:unhideWhenUsed/>
    <w:rsid w:val="0003148D"/>
    <w:pPr>
      <w:spacing w:after="120" w:line="480" w:lineRule="auto"/>
    </w:pPr>
  </w:style>
  <w:style w:type="character" w:customStyle="1" w:styleId="Textindependent2Car">
    <w:name w:val="Text independent 2 Car"/>
    <w:basedOn w:val="Lletraperdefectedelpargraf"/>
    <w:link w:val="Textindependent2"/>
    <w:uiPriority w:val="99"/>
    <w:semiHidden/>
    <w:rsid w:val="0003148D"/>
  </w:style>
  <w:style w:type="paragraph" w:styleId="Textindependent3">
    <w:name w:val="Body Text 3"/>
    <w:basedOn w:val="Normal"/>
    <w:link w:val="Textindependent3Car"/>
    <w:uiPriority w:val="99"/>
    <w:semiHidden/>
    <w:unhideWhenUsed/>
    <w:rsid w:val="0003148D"/>
    <w:pPr>
      <w:spacing w:after="120"/>
    </w:pPr>
    <w:rPr>
      <w:sz w:val="16"/>
      <w:szCs w:val="16"/>
    </w:rPr>
  </w:style>
  <w:style w:type="character" w:customStyle="1" w:styleId="Textindependent3Car">
    <w:name w:val="Text independent 3 Car"/>
    <w:basedOn w:val="Lletraperdefectedelpargraf"/>
    <w:link w:val="Textindependent3"/>
    <w:uiPriority w:val="99"/>
    <w:semiHidden/>
    <w:rsid w:val="0003148D"/>
    <w:rPr>
      <w:sz w:val="16"/>
      <w:szCs w:val="16"/>
    </w:rPr>
  </w:style>
  <w:style w:type="paragraph" w:styleId="Textindependent">
    <w:name w:val="Body Text"/>
    <w:basedOn w:val="Normal"/>
    <w:link w:val="TextindependentCar"/>
    <w:uiPriority w:val="99"/>
    <w:semiHidden/>
    <w:unhideWhenUsed/>
    <w:rsid w:val="0003148D"/>
    <w:pPr>
      <w:spacing w:after="120"/>
    </w:pPr>
  </w:style>
  <w:style w:type="character" w:customStyle="1" w:styleId="TextindependentCar">
    <w:name w:val="Text independent Car"/>
    <w:basedOn w:val="Lletraperdefectedelpargraf"/>
    <w:link w:val="Textindependent"/>
    <w:uiPriority w:val="99"/>
    <w:semiHidden/>
    <w:rsid w:val="0003148D"/>
  </w:style>
  <w:style w:type="paragraph" w:styleId="Data">
    <w:name w:val="Date"/>
    <w:basedOn w:val="Normal"/>
    <w:next w:val="Normal"/>
    <w:link w:val="DataCar"/>
    <w:uiPriority w:val="99"/>
    <w:semiHidden/>
    <w:unhideWhenUsed/>
    <w:rsid w:val="0003148D"/>
  </w:style>
  <w:style w:type="character" w:customStyle="1" w:styleId="DataCar">
    <w:name w:val="Data Car"/>
    <w:basedOn w:val="Lletraperdefectedelpargraf"/>
    <w:link w:val="Data"/>
    <w:uiPriority w:val="99"/>
    <w:semiHidden/>
    <w:rsid w:val="0003148D"/>
  </w:style>
  <w:style w:type="paragraph" w:styleId="L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lista">
    <w:name w:val="List"/>
    <w:basedOn w:val="Normal"/>
    <w:uiPriority w:val="99"/>
    <w:semiHidden/>
    <w:unhideWhenUsed/>
    <w:rsid w:val="0003148D"/>
    <w:pPr>
      <w:ind w:left="283" w:hanging="283"/>
      <w:contextualSpacing/>
    </w:pPr>
  </w:style>
  <w:style w:type="paragraph" w:styleId="Llista2">
    <w:name w:val="List 2"/>
    <w:basedOn w:val="Normal"/>
    <w:uiPriority w:val="99"/>
    <w:semiHidden/>
    <w:unhideWhenUsed/>
    <w:rsid w:val="0003148D"/>
    <w:pPr>
      <w:ind w:left="566" w:hanging="283"/>
      <w:contextualSpacing/>
    </w:pPr>
  </w:style>
  <w:style w:type="paragraph" w:styleId="Llista3">
    <w:name w:val="List 3"/>
    <w:basedOn w:val="Normal"/>
    <w:uiPriority w:val="99"/>
    <w:semiHidden/>
    <w:unhideWhenUsed/>
    <w:rsid w:val="0003148D"/>
    <w:pPr>
      <w:ind w:left="849" w:hanging="283"/>
      <w:contextualSpacing/>
    </w:pPr>
  </w:style>
  <w:style w:type="paragraph" w:styleId="Llista4">
    <w:name w:val="List 4"/>
    <w:basedOn w:val="Normal"/>
    <w:uiPriority w:val="99"/>
    <w:semiHidden/>
    <w:unhideWhenUsed/>
    <w:rsid w:val="0003148D"/>
    <w:pPr>
      <w:ind w:left="1132" w:hanging="283"/>
      <w:contextualSpacing/>
    </w:pPr>
  </w:style>
  <w:style w:type="paragraph" w:styleId="Llista5">
    <w:name w:val="List 5"/>
    <w:basedOn w:val="Normal"/>
    <w:uiPriority w:val="99"/>
    <w:semiHidden/>
    <w:unhideWhenUsed/>
    <w:rsid w:val="0003148D"/>
    <w:pPr>
      <w:ind w:left="1415" w:hanging="283"/>
      <w:contextualSpacing/>
    </w:pPr>
  </w:style>
  <w:style w:type="paragraph" w:styleId="Continuacidellista">
    <w:name w:val="List Continue"/>
    <w:basedOn w:val="Normal"/>
    <w:uiPriority w:val="99"/>
    <w:semiHidden/>
    <w:unhideWhenUsed/>
    <w:rsid w:val="0003148D"/>
    <w:pPr>
      <w:spacing w:after="120"/>
      <w:ind w:left="283"/>
      <w:contextualSpacing/>
    </w:pPr>
  </w:style>
  <w:style w:type="paragraph" w:styleId="Continuacidellista2">
    <w:name w:val="List Continue 2"/>
    <w:basedOn w:val="Normal"/>
    <w:uiPriority w:val="99"/>
    <w:semiHidden/>
    <w:unhideWhenUsed/>
    <w:rsid w:val="0003148D"/>
    <w:pPr>
      <w:spacing w:after="120"/>
      <w:ind w:left="566"/>
      <w:contextualSpacing/>
    </w:pPr>
  </w:style>
  <w:style w:type="paragraph" w:styleId="Continuacidellista3">
    <w:name w:val="List Continue 3"/>
    <w:basedOn w:val="Normal"/>
    <w:uiPriority w:val="99"/>
    <w:semiHidden/>
    <w:unhideWhenUsed/>
    <w:rsid w:val="0003148D"/>
    <w:pPr>
      <w:spacing w:after="120"/>
      <w:ind w:left="849"/>
      <w:contextualSpacing/>
    </w:pPr>
  </w:style>
  <w:style w:type="paragraph" w:styleId="Continuacidellista4">
    <w:name w:val="List Continue 4"/>
    <w:basedOn w:val="Normal"/>
    <w:uiPriority w:val="99"/>
    <w:semiHidden/>
    <w:unhideWhenUsed/>
    <w:rsid w:val="0003148D"/>
    <w:pPr>
      <w:spacing w:after="120"/>
      <w:ind w:left="1132"/>
      <w:contextualSpacing/>
    </w:pPr>
  </w:style>
  <w:style w:type="paragraph" w:styleId="Continuacidellista5">
    <w:name w:val="List Continue 5"/>
    <w:basedOn w:val="Normal"/>
    <w:uiPriority w:val="99"/>
    <w:semiHidden/>
    <w:unhideWhenUsed/>
    <w:rsid w:val="0003148D"/>
    <w:pPr>
      <w:spacing w:after="120"/>
      <w:ind w:left="1415"/>
      <w:contextualSpacing/>
    </w:pPr>
  </w:style>
  <w:style w:type="paragraph" w:styleId="Signatura">
    <w:name w:val="Signature"/>
    <w:basedOn w:val="Normal"/>
    <w:link w:val="SignaturaCar"/>
    <w:uiPriority w:val="99"/>
    <w:semiHidden/>
    <w:unhideWhenUsed/>
    <w:rsid w:val="0003148D"/>
    <w:pPr>
      <w:spacing w:line="240" w:lineRule="auto"/>
      <w:ind w:left="4252"/>
    </w:pPr>
  </w:style>
  <w:style w:type="character" w:customStyle="1" w:styleId="SignaturaCar">
    <w:name w:val="Signatura Car"/>
    <w:basedOn w:val="Lletraperdefectedelpargraf"/>
    <w:link w:val="Signatura"/>
    <w:uiPriority w:val="99"/>
    <w:semiHidden/>
    <w:rsid w:val="0003148D"/>
  </w:style>
  <w:style w:type="paragraph" w:styleId="Signaturadecorreuelectrnic">
    <w:name w:val="E-mail Signature"/>
    <w:basedOn w:val="Normal"/>
    <w:link w:val="SignaturadecorreuelectrnicCar"/>
    <w:uiPriority w:val="99"/>
    <w:semiHidden/>
    <w:unhideWhenUsed/>
    <w:rsid w:val="0003148D"/>
    <w:pPr>
      <w:spacing w:line="240" w:lineRule="auto"/>
    </w:pPr>
  </w:style>
  <w:style w:type="character" w:customStyle="1" w:styleId="SignaturadecorreuelectrnicCar">
    <w:name w:val="Signatura de correu electrònic Car"/>
    <w:basedOn w:val="Lletraperdefectedelpargraf"/>
    <w:link w:val="Signaturadecorreuelectrnic"/>
    <w:uiPriority w:val="99"/>
    <w:semiHidden/>
    <w:rsid w:val="0003148D"/>
  </w:style>
  <w:style w:type="paragraph" w:styleId="Salutaci">
    <w:name w:val="Salutation"/>
    <w:basedOn w:val="Normal"/>
    <w:next w:val="Normal"/>
    <w:link w:val="SalutaciCar"/>
    <w:uiPriority w:val="99"/>
    <w:semiHidden/>
    <w:unhideWhenUsed/>
    <w:rsid w:val="0003148D"/>
  </w:style>
  <w:style w:type="character" w:customStyle="1" w:styleId="SalutaciCar">
    <w:name w:val="Salutació Car"/>
    <w:basedOn w:val="Lletraperdefectedelpargraf"/>
    <w:link w:val="Salutaci"/>
    <w:uiPriority w:val="99"/>
    <w:semiHidden/>
    <w:rsid w:val="0003148D"/>
  </w:style>
  <w:style w:type="paragraph" w:styleId="Comiat">
    <w:name w:val="Closing"/>
    <w:basedOn w:val="Normal"/>
    <w:link w:val="ComiatCar"/>
    <w:uiPriority w:val="99"/>
    <w:semiHidden/>
    <w:unhideWhenUsed/>
    <w:rsid w:val="0003148D"/>
    <w:pPr>
      <w:spacing w:line="240" w:lineRule="auto"/>
      <w:ind w:left="4252"/>
    </w:pPr>
  </w:style>
  <w:style w:type="character" w:customStyle="1" w:styleId="ComiatCar">
    <w:name w:val="Comiat Car"/>
    <w:basedOn w:val="Lletraperdefectedelpargraf"/>
    <w:link w:val="Comiat"/>
    <w:uiPriority w:val="99"/>
    <w:semiHidden/>
    <w:rsid w:val="0003148D"/>
  </w:style>
  <w:style w:type="paragraph" w:styleId="ndex1">
    <w:name w:val="index 1"/>
    <w:basedOn w:val="Normal"/>
    <w:next w:val="Normal"/>
    <w:autoRedefine/>
    <w:uiPriority w:val="99"/>
    <w:semiHidden/>
    <w:unhideWhenUsed/>
    <w:rsid w:val="0003148D"/>
    <w:pPr>
      <w:spacing w:line="240" w:lineRule="auto"/>
      <w:ind w:left="220" w:hanging="220"/>
    </w:pPr>
  </w:style>
  <w:style w:type="paragraph" w:styleId="ndex2">
    <w:name w:val="index 2"/>
    <w:basedOn w:val="Normal"/>
    <w:next w:val="Normal"/>
    <w:autoRedefine/>
    <w:uiPriority w:val="99"/>
    <w:semiHidden/>
    <w:unhideWhenUsed/>
    <w:rsid w:val="0003148D"/>
    <w:pPr>
      <w:spacing w:line="240" w:lineRule="auto"/>
      <w:ind w:left="440" w:hanging="220"/>
    </w:pPr>
  </w:style>
  <w:style w:type="paragraph" w:styleId="ndex3">
    <w:name w:val="index 3"/>
    <w:basedOn w:val="Normal"/>
    <w:next w:val="Normal"/>
    <w:autoRedefine/>
    <w:uiPriority w:val="99"/>
    <w:semiHidden/>
    <w:unhideWhenUsed/>
    <w:rsid w:val="0003148D"/>
    <w:pPr>
      <w:spacing w:line="240" w:lineRule="auto"/>
      <w:ind w:left="660" w:hanging="220"/>
    </w:pPr>
  </w:style>
  <w:style w:type="paragraph" w:styleId="ndex4">
    <w:name w:val="index 4"/>
    <w:basedOn w:val="Normal"/>
    <w:next w:val="Normal"/>
    <w:autoRedefine/>
    <w:uiPriority w:val="99"/>
    <w:semiHidden/>
    <w:unhideWhenUsed/>
    <w:rsid w:val="0003148D"/>
    <w:pPr>
      <w:spacing w:line="240" w:lineRule="auto"/>
      <w:ind w:left="880" w:hanging="220"/>
    </w:pPr>
  </w:style>
  <w:style w:type="paragraph" w:styleId="ndex5">
    <w:name w:val="index 5"/>
    <w:basedOn w:val="Normal"/>
    <w:next w:val="Normal"/>
    <w:autoRedefine/>
    <w:uiPriority w:val="99"/>
    <w:semiHidden/>
    <w:unhideWhenUsed/>
    <w:rsid w:val="0003148D"/>
    <w:pPr>
      <w:spacing w:line="240" w:lineRule="auto"/>
      <w:ind w:left="1100" w:hanging="220"/>
    </w:pPr>
  </w:style>
  <w:style w:type="paragraph" w:styleId="ndex6">
    <w:name w:val="index 6"/>
    <w:basedOn w:val="Normal"/>
    <w:next w:val="Normal"/>
    <w:autoRedefine/>
    <w:uiPriority w:val="99"/>
    <w:semiHidden/>
    <w:unhideWhenUsed/>
    <w:rsid w:val="0003148D"/>
    <w:pPr>
      <w:spacing w:line="240" w:lineRule="auto"/>
      <w:ind w:left="1320" w:hanging="220"/>
    </w:pPr>
  </w:style>
  <w:style w:type="paragraph" w:styleId="ndex7">
    <w:name w:val="index 7"/>
    <w:basedOn w:val="Normal"/>
    <w:next w:val="Normal"/>
    <w:autoRedefine/>
    <w:uiPriority w:val="99"/>
    <w:semiHidden/>
    <w:unhideWhenUsed/>
    <w:rsid w:val="0003148D"/>
    <w:pPr>
      <w:spacing w:line="240" w:lineRule="auto"/>
      <w:ind w:left="1540" w:hanging="220"/>
    </w:pPr>
  </w:style>
  <w:style w:type="paragraph" w:styleId="ndex8">
    <w:name w:val="index 8"/>
    <w:basedOn w:val="Normal"/>
    <w:next w:val="Normal"/>
    <w:autoRedefine/>
    <w:uiPriority w:val="99"/>
    <w:semiHidden/>
    <w:unhideWhenUsed/>
    <w:rsid w:val="0003148D"/>
    <w:pPr>
      <w:spacing w:line="240" w:lineRule="auto"/>
      <w:ind w:left="1760" w:hanging="220"/>
    </w:pPr>
  </w:style>
  <w:style w:type="paragraph" w:styleId="ndex9">
    <w:name w:val="index 9"/>
    <w:basedOn w:val="Normal"/>
    <w:next w:val="Normal"/>
    <w:autoRedefine/>
    <w:uiPriority w:val="99"/>
    <w:semiHidden/>
    <w:unhideWhenUsed/>
    <w:rsid w:val="0003148D"/>
    <w:pPr>
      <w:spacing w:line="240" w:lineRule="auto"/>
      <w:ind w:left="1980" w:hanging="220"/>
    </w:pPr>
  </w:style>
  <w:style w:type="paragraph" w:styleId="ndexdillustracions">
    <w:name w:val="table of figures"/>
    <w:basedOn w:val="Normal"/>
    <w:next w:val="Normal"/>
    <w:uiPriority w:val="99"/>
    <w:semiHidden/>
    <w:unhideWhenUsed/>
    <w:rsid w:val="0003148D"/>
  </w:style>
  <w:style w:type="paragraph" w:styleId="ndexdautoritats">
    <w:name w:val="table of authorities"/>
    <w:basedOn w:val="Normal"/>
    <w:next w:val="Normal"/>
    <w:uiPriority w:val="99"/>
    <w:semiHidden/>
    <w:unhideWhenUsed/>
    <w:rsid w:val="0003148D"/>
    <w:pPr>
      <w:ind w:left="220" w:hanging="220"/>
    </w:pPr>
  </w:style>
  <w:style w:type="paragraph" w:styleId="Adreadel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aHTML">
    <w:name w:val="HTML Address"/>
    <w:basedOn w:val="Normal"/>
    <w:link w:val="AdreaHTMLCar"/>
    <w:uiPriority w:val="99"/>
    <w:semiHidden/>
    <w:unhideWhenUsed/>
    <w:rsid w:val="0003148D"/>
    <w:pPr>
      <w:spacing w:line="240" w:lineRule="auto"/>
    </w:pPr>
    <w:rPr>
      <w:i/>
      <w:iCs/>
    </w:rPr>
  </w:style>
  <w:style w:type="character" w:customStyle="1" w:styleId="AdreaHTMLCar">
    <w:name w:val="Adreça HTML Car"/>
    <w:basedOn w:val="Lletraperdefectedelpargraf"/>
    <w:link w:val="AdreaHTML"/>
    <w:uiPriority w:val="99"/>
    <w:semiHidden/>
    <w:rsid w:val="0003148D"/>
    <w:rPr>
      <w:i/>
      <w:iCs/>
    </w:rPr>
  </w:style>
  <w:style w:type="paragraph" w:styleId="Remitentdel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palerademissatge">
    <w:name w:val="Message Header"/>
    <w:basedOn w:val="Normal"/>
    <w:link w:val="Capalerademissat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uiPriority w:val="99"/>
    <w:semiHidden/>
    <w:rsid w:val="0003148D"/>
    <w:rPr>
      <w:rFonts w:asciiTheme="majorHAnsi" w:eastAsiaTheme="majorEastAsia" w:hAnsiTheme="majorHAnsi" w:cstheme="majorBidi"/>
      <w:sz w:val="24"/>
      <w:szCs w:val="24"/>
      <w:shd w:val="pct20" w:color="auto" w:fill="auto"/>
    </w:rPr>
  </w:style>
  <w:style w:type="paragraph" w:styleId="Ttoldenota">
    <w:name w:val="Note Heading"/>
    <w:basedOn w:val="Normal"/>
    <w:next w:val="Normal"/>
    <w:link w:val="TtoldenotaCar"/>
    <w:uiPriority w:val="99"/>
    <w:semiHidden/>
    <w:unhideWhenUsed/>
    <w:rsid w:val="0003148D"/>
    <w:pPr>
      <w:spacing w:line="240" w:lineRule="auto"/>
    </w:pPr>
  </w:style>
  <w:style w:type="character" w:customStyle="1" w:styleId="TtoldenotaCar">
    <w:name w:val="Títol de nota Car"/>
    <w:basedOn w:val="Lletraperdefectedelpargraf"/>
    <w:link w:val="Ttoldenota"/>
    <w:uiPriority w:val="99"/>
    <w:semiHidden/>
    <w:rsid w:val="0003148D"/>
  </w:style>
  <w:style w:type="paragraph" w:styleId="Mapadeldocument">
    <w:name w:val="Document Map"/>
    <w:basedOn w:val="Normal"/>
    <w:link w:val="MapadeldocumentCar"/>
    <w:uiPriority w:val="99"/>
    <w:semiHidden/>
    <w:unhideWhenUsed/>
    <w:rsid w:val="0003148D"/>
    <w:pPr>
      <w:spacing w:line="240" w:lineRule="auto"/>
    </w:pPr>
    <w:rPr>
      <w:rFonts w:ascii="Tahoma" w:hAnsi="Tahoma" w:cs="Tahoma"/>
      <w:sz w:val="16"/>
      <w:szCs w:val="16"/>
    </w:rPr>
  </w:style>
  <w:style w:type="character" w:customStyle="1" w:styleId="MapadeldocumentCar">
    <w:name w:val="Mapa del document Car"/>
    <w:basedOn w:val="Lletraperdefectedelpargraf"/>
    <w:link w:val="Mapadeldocument"/>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listanumerada">
    <w:name w:val="List Number"/>
    <w:basedOn w:val="Normal"/>
    <w:uiPriority w:val="99"/>
    <w:semiHidden/>
    <w:unhideWhenUsed/>
    <w:rsid w:val="0003148D"/>
    <w:pPr>
      <w:numPr>
        <w:numId w:val="2"/>
      </w:numPr>
      <w:contextualSpacing/>
    </w:pPr>
  </w:style>
  <w:style w:type="paragraph" w:styleId="Llistanumerada2">
    <w:name w:val="List Number 2"/>
    <w:basedOn w:val="Normal"/>
    <w:uiPriority w:val="99"/>
    <w:semiHidden/>
    <w:unhideWhenUsed/>
    <w:rsid w:val="0003148D"/>
    <w:pPr>
      <w:numPr>
        <w:numId w:val="3"/>
      </w:numPr>
      <w:contextualSpacing/>
    </w:pPr>
  </w:style>
  <w:style w:type="paragraph" w:styleId="Llistanumerada3">
    <w:name w:val="List Number 3"/>
    <w:basedOn w:val="Normal"/>
    <w:uiPriority w:val="99"/>
    <w:semiHidden/>
    <w:unhideWhenUsed/>
    <w:rsid w:val="0003148D"/>
    <w:pPr>
      <w:numPr>
        <w:numId w:val="4"/>
      </w:numPr>
      <w:contextualSpacing/>
    </w:pPr>
  </w:style>
  <w:style w:type="paragraph" w:styleId="Llistanumerada4">
    <w:name w:val="List Number 4"/>
    <w:basedOn w:val="Normal"/>
    <w:uiPriority w:val="99"/>
    <w:semiHidden/>
    <w:unhideWhenUsed/>
    <w:rsid w:val="0003148D"/>
    <w:pPr>
      <w:numPr>
        <w:numId w:val="5"/>
      </w:numPr>
      <w:contextualSpacing/>
    </w:pPr>
  </w:style>
  <w:style w:type="paragraph" w:styleId="Llistanumerada5">
    <w:name w:val="List Number 5"/>
    <w:basedOn w:val="Normal"/>
    <w:uiPriority w:val="99"/>
    <w:semiHidden/>
    <w:unhideWhenUsed/>
    <w:rsid w:val="0003148D"/>
    <w:pPr>
      <w:numPr>
        <w:numId w:val="6"/>
      </w:numPr>
      <w:contextualSpacing/>
    </w:pPr>
  </w:style>
  <w:style w:type="paragraph" w:styleId="HTMLambformatprevi">
    <w:name w:val="HTML Preformatted"/>
    <w:basedOn w:val="Normal"/>
    <w:link w:val="HTMLambformatpreviCar"/>
    <w:uiPriority w:val="99"/>
    <w:semiHidden/>
    <w:unhideWhenUsed/>
    <w:rsid w:val="0003148D"/>
    <w:pPr>
      <w:spacing w:line="240" w:lineRule="auto"/>
    </w:pPr>
    <w:rPr>
      <w:rFonts w:ascii="Consolas" w:hAnsi="Consolas" w:cs="Consolas"/>
    </w:rPr>
  </w:style>
  <w:style w:type="character" w:customStyle="1" w:styleId="HTMLambformatpreviCar">
    <w:name w:val="HTML amb format previ Car"/>
    <w:basedOn w:val="Lletraperdefectedelpargraf"/>
    <w:link w:val="HTMLambformatprevi"/>
    <w:uiPriority w:val="99"/>
    <w:semiHidden/>
    <w:rsid w:val="0003148D"/>
    <w:rPr>
      <w:rFonts w:ascii="Consolas" w:hAnsi="Consolas" w:cs="Consolas"/>
      <w:sz w:val="20"/>
      <w:szCs w:val="20"/>
    </w:rPr>
  </w:style>
  <w:style w:type="paragraph" w:styleId="Primerasagniadetextindependent">
    <w:name w:val="Body Text First Indent"/>
    <w:basedOn w:val="Textindependent"/>
    <w:link w:val="PrimerasagniadetextindependentCar"/>
    <w:uiPriority w:val="99"/>
    <w:semiHidden/>
    <w:unhideWhenUsed/>
    <w:rsid w:val="0003148D"/>
    <w:pPr>
      <w:spacing w:after="200"/>
      <w:ind w:firstLine="360"/>
    </w:pPr>
  </w:style>
  <w:style w:type="character" w:customStyle="1" w:styleId="PrimerasagniadetextindependentCar">
    <w:name w:val="Primera sagnia de text independent Car"/>
    <w:basedOn w:val="TextindependentCar"/>
    <w:link w:val="Primerasagniadetextindependent"/>
    <w:uiPriority w:val="99"/>
    <w:semiHidden/>
    <w:rsid w:val="0003148D"/>
  </w:style>
  <w:style w:type="paragraph" w:styleId="Sagniadetextindependent">
    <w:name w:val="Body Text Indent"/>
    <w:basedOn w:val="Normal"/>
    <w:link w:val="SagniadetextindependentCar"/>
    <w:uiPriority w:val="99"/>
    <w:semiHidden/>
    <w:unhideWhenUsed/>
    <w:rsid w:val="0003148D"/>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03148D"/>
  </w:style>
  <w:style w:type="paragraph" w:styleId="Primerasagniadetextindependent2">
    <w:name w:val="Body Text First Indent 2"/>
    <w:basedOn w:val="Sagniadetextindependent"/>
    <w:link w:val="Primerasagniadetextindependent2Car"/>
    <w:uiPriority w:val="99"/>
    <w:semiHidden/>
    <w:unhideWhenUsed/>
    <w:rsid w:val="0003148D"/>
    <w:pPr>
      <w:spacing w:after="200"/>
      <w:ind w:left="360"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03148D"/>
  </w:style>
  <w:style w:type="paragraph" w:styleId="Llistaambpics">
    <w:name w:val="List Bullet"/>
    <w:basedOn w:val="Normal"/>
    <w:uiPriority w:val="99"/>
    <w:semiHidden/>
    <w:unhideWhenUsed/>
    <w:rsid w:val="0003148D"/>
    <w:pPr>
      <w:numPr>
        <w:numId w:val="7"/>
      </w:numPr>
      <w:contextualSpacing/>
    </w:pPr>
  </w:style>
  <w:style w:type="paragraph" w:styleId="Llistaambpics2">
    <w:name w:val="List Bullet 2"/>
    <w:basedOn w:val="Normal"/>
    <w:uiPriority w:val="99"/>
    <w:semiHidden/>
    <w:unhideWhenUsed/>
    <w:rsid w:val="0003148D"/>
    <w:pPr>
      <w:numPr>
        <w:numId w:val="8"/>
      </w:numPr>
      <w:contextualSpacing/>
    </w:pPr>
  </w:style>
  <w:style w:type="paragraph" w:styleId="Llistaambpics3">
    <w:name w:val="List Bullet 3"/>
    <w:basedOn w:val="Normal"/>
    <w:uiPriority w:val="99"/>
    <w:semiHidden/>
    <w:unhideWhenUsed/>
    <w:rsid w:val="0003148D"/>
    <w:pPr>
      <w:numPr>
        <w:numId w:val="9"/>
      </w:numPr>
      <w:contextualSpacing/>
    </w:pPr>
  </w:style>
  <w:style w:type="paragraph" w:styleId="Llistaambpics4">
    <w:name w:val="List Bullet 4"/>
    <w:basedOn w:val="Normal"/>
    <w:uiPriority w:val="99"/>
    <w:semiHidden/>
    <w:unhideWhenUsed/>
    <w:rsid w:val="0003148D"/>
    <w:pPr>
      <w:numPr>
        <w:numId w:val="10"/>
      </w:numPr>
      <w:contextualSpacing/>
    </w:pPr>
  </w:style>
  <w:style w:type="paragraph" w:styleId="Llistaambpics5">
    <w:name w:val="List Bullet 5"/>
    <w:basedOn w:val="Normal"/>
    <w:uiPriority w:val="99"/>
    <w:semiHidden/>
    <w:unhideWhenUsed/>
    <w:rsid w:val="0003148D"/>
    <w:pPr>
      <w:numPr>
        <w:numId w:val="11"/>
      </w:numPr>
      <w:contextualSpacing/>
    </w:pPr>
  </w:style>
  <w:style w:type="paragraph" w:styleId="Sagniadetextindependent2">
    <w:name w:val="Body Text Indent 2"/>
    <w:basedOn w:val="Normal"/>
    <w:link w:val="Sagniadetextindependent2Car"/>
    <w:uiPriority w:val="99"/>
    <w:semiHidden/>
    <w:unhideWhenUsed/>
    <w:rsid w:val="0003148D"/>
    <w:pPr>
      <w:spacing w:after="120" w:line="480" w:lineRule="auto"/>
      <w:ind w:left="283"/>
    </w:pPr>
  </w:style>
  <w:style w:type="character" w:customStyle="1" w:styleId="Sagniadetextindependent2Car">
    <w:name w:val="Sagnia de text independent 2 Car"/>
    <w:basedOn w:val="Lletraperdefectedelpargraf"/>
    <w:link w:val="Sagniadetextindependent2"/>
    <w:uiPriority w:val="99"/>
    <w:semiHidden/>
    <w:rsid w:val="0003148D"/>
  </w:style>
  <w:style w:type="paragraph" w:styleId="Sagniadetextindependent3">
    <w:name w:val="Body Text Indent 3"/>
    <w:basedOn w:val="Normal"/>
    <w:link w:val="Sagniadetextindependent3Car"/>
    <w:uiPriority w:val="99"/>
    <w:semiHidden/>
    <w:unhideWhenUsed/>
    <w:rsid w:val="0003148D"/>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semiHidden/>
    <w:rsid w:val="0003148D"/>
    <w:rPr>
      <w:sz w:val="16"/>
      <w:szCs w:val="16"/>
    </w:rPr>
  </w:style>
  <w:style w:type="paragraph" w:styleId="Sagnianormal">
    <w:name w:val="Normal Indent"/>
    <w:basedOn w:val="Normal"/>
    <w:uiPriority w:val="99"/>
    <w:semiHidden/>
    <w:unhideWhenUsed/>
    <w:rsid w:val="0003148D"/>
    <w:pPr>
      <w:ind w:left="720"/>
    </w:pPr>
  </w:style>
  <w:style w:type="paragraph" w:styleId="Textdecomentari">
    <w:name w:val="annotation text"/>
    <w:basedOn w:val="Normal"/>
    <w:link w:val="TextdecomentariCar"/>
    <w:uiPriority w:val="99"/>
    <w:unhideWhenUsed/>
    <w:rsid w:val="0003148D"/>
    <w:pPr>
      <w:spacing w:line="240" w:lineRule="auto"/>
    </w:pPr>
  </w:style>
  <w:style w:type="character" w:customStyle="1" w:styleId="TextdecomentariCar">
    <w:name w:val="Text de comentari Car"/>
    <w:basedOn w:val="Lletraperdefectedelpargraf"/>
    <w:link w:val="Textdecomentari"/>
    <w:uiPriority w:val="99"/>
    <w:rsid w:val="0003148D"/>
    <w:rPr>
      <w:sz w:val="20"/>
      <w:szCs w:val="20"/>
    </w:rPr>
  </w:style>
  <w:style w:type="paragraph" w:styleId="Temadelcomentari">
    <w:name w:val="annotation subject"/>
    <w:basedOn w:val="Textdecomentari"/>
    <w:next w:val="Textdecomentari"/>
    <w:link w:val="TemadelcomentariCar"/>
    <w:uiPriority w:val="99"/>
    <w:semiHidden/>
    <w:unhideWhenUsed/>
    <w:rsid w:val="0003148D"/>
    <w:rPr>
      <w:b/>
      <w:bCs/>
    </w:rPr>
  </w:style>
  <w:style w:type="character" w:customStyle="1" w:styleId="TemadelcomentariCar">
    <w:name w:val="Tema del comentari Car"/>
    <w:basedOn w:val="TextdecomentariCar"/>
    <w:link w:val="Temadelcomentari"/>
    <w:uiPriority w:val="99"/>
    <w:semiHidden/>
    <w:rsid w:val="0003148D"/>
    <w:rPr>
      <w:b/>
      <w:bCs/>
      <w:sz w:val="20"/>
      <w:szCs w:val="20"/>
    </w:rPr>
  </w:style>
  <w:style w:type="paragraph" w:styleId="IDC1">
    <w:name w:val="toc 1"/>
    <w:basedOn w:val="Normal"/>
    <w:next w:val="Normal"/>
    <w:autoRedefine/>
    <w:uiPriority w:val="39"/>
    <w:semiHidden/>
    <w:unhideWhenUsed/>
    <w:rsid w:val="0003148D"/>
    <w:pPr>
      <w:spacing w:after="100"/>
    </w:pPr>
  </w:style>
  <w:style w:type="paragraph" w:styleId="IDC2">
    <w:name w:val="toc 2"/>
    <w:basedOn w:val="Normal"/>
    <w:next w:val="Normal"/>
    <w:autoRedefine/>
    <w:uiPriority w:val="39"/>
    <w:semiHidden/>
    <w:unhideWhenUsed/>
    <w:rsid w:val="0003148D"/>
    <w:pPr>
      <w:spacing w:after="100"/>
      <w:ind w:left="220"/>
    </w:pPr>
  </w:style>
  <w:style w:type="paragraph" w:styleId="IDC3">
    <w:name w:val="toc 3"/>
    <w:basedOn w:val="Normal"/>
    <w:next w:val="Normal"/>
    <w:autoRedefine/>
    <w:uiPriority w:val="39"/>
    <w:semiHidden/>
    <w:unhideWhenUsed/>
    <w:rsid w:val="0003148D"/>
    <w:pPr>
      <w:spacing w:after="100"/>
      <w:ind w:left="440"/>
    </w:pPr>
  </w:style>
  <w:style w:type="paragraph" w:styleId="IDC4">
    <w:name w:val="toc 4"/>
    <w:basedOn w:val="Normal"/>
    <w:next w:val="Normal"/>
    <w:autoRedefine/>
    <w:uiPriority w:val="39"/>
    <w:semiHidden/>
    <w:unhideWhenUsed/>
    <w:rsid w:val="0003148D"/>
    <w:pPr>
      <w:spacing w:after="100"/>
      <w:ind w:left="660"/>
    </w:pPr>
  </w:style>
  <w:style w:type="paragraph" w:styleId="IDC5">
    <w:name w:val="toc 5"/>
    <w:basedOn w:val="Normal"/>
    <w:next w:val="Normal"/>
    <w:autoRedefine/>
    <w:uiPriority w:val="39"/>
    <w:semiHidden/>
    <w:unhideWhenUsed/>
    <w:rsid w:val="0003148D"/>
    <w:pPr>
      <w:spacing w:after="100"/>
      <w:ind w:left="880"/>
    </w:pPr>
  </w:style>
  <w:style w:type="paragraph" w:styleId="IDC6">
    <w:name w:val="toc 6"/>
    <w:basedOn w:val="Normal"/>
    <w:next w:val="Normal"/>
    <w:autoRedefine/>
    <w:uiPriority w:val="39"/>
    <w:semiHidden/>
    <w:unhideWhenUsed/>
    <w:rsid w:val="0003148D"/>
    <w:pPr>
      <w:spacing w:after="100"/>
      <w:ind w:left="1100"/>
    </w:pPr>
  </w:style>
  <w:style w:type="paragraph" w:styleId="IDC7">
    <w:name w:val="toc 7"/>
    <w:basedOn w:val="Normal"/>
    <w:next w:val="Normal"/>
    <w:autoRedefine/>
    <w:uiPriority w:val="39"/>
    <w:semiHidden/>
    <w:unhideWhenUsed/>
    <w:rsid w:val="0003148D"/>
    <w:pPr>
      <w:spacing w:after="100"/>
      <w:ind w:left="1320"/>
    </w:pPr>
  </w:style>
  <w:style w:type="paragraph" w:styleId="IDC8">
    <w:name w:val="toc 8"/>
    <w:basedOn w:val="Normal"/>
    <w:next w:val="Normal"/>
    <w:autoRedefine/>
    <w:uiPriority w:val="39"/>
    <w:semiHidden/>
    <w:unhideWhenUsed/>
    <w:rsid w:val="0003148D"/>
    <w:pPr>
      <w:spacing w:after="100"/>
      <w:ind w:left="1540"/>
    </w:pPr>
  </w:style>
  <w:style w:type="paragraph" w:styleId="IDC9">
    <w:name w:val="toc 9"/>
    <w:basedOn w:val="Normal"/>
    <w:next w:val="Normal"/>
    <w:autoRedefine/>
    <w:uiPriority w:val="39"/>
    <w:semiHidden/>
    <w:unhideWhenUsed/>
    <w:rsid w:val="0003148D"/>
    <w:pPr>
      <w:spacing w:after="100"/>
      <w:ind w:left="1760"/>
    </w:pPr>
  </w:style>
  <w:style w:type="paragraph" w:styleId="Textdebloc">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demacro">
    <w:name w:val="macro"/>
    <w:link w:val="Text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demacroCar">
    <w:name w:val="Text de macro Car"/>
    <w:basedOn w:val="Lletraperdefectedelpargraf"/>
    <w:link w:val="Textdemacro"/>
    <w:uiPriority w:val="99"/>
    <w:semiHidden/>
    <w:rsid w:val="0003148D"/>
    <w:rPr>
      <w:rFonts w:ascii="Consolas" w:hAnsi="Consolas" w:cs="Consolas"/>
      <w:sz w:val="20"/>
      <w:szCs w:val="20"/>
    </w:rPr>
  </w:style>
  <w:style w:type="paragraph" w:styleId="Textsenseformat">
    <w:name w:val="Plain Text"/>
    <w:basedOn w:val="Normal"/>
    <w:link w:val="TextsenseformatCar"/>
    <w:uiPriority w:val="99"/>
    <w:semiHidden/>
    <w:unhideWhenUsed/>
    <w:rsid w:val="0003148D"/>
    <w:pPr>
      <w:spacing w:line="240" w:lineRule="auto"/>
    </w:pPr>
    <w:rPr>
      <w:rFonts w:ascii="Consolas" w:hAnsi="Consolas" w:cs="Consolas"/>
      <w:sz w:val="21"/>
      <w:szCs w:val="21"/>
    </w:rPr>
  </w:style>
  <w:style w:type="character" w:customStyle="1" w:styleId="TextsenseformatCar">
    <w:name w:val="Text sense format Car"/>
    <w:basedOn w:val="Lletraperdefectedelpargraf"/>
    <w:link w:val="Textsenseformat"/>
    <w:uiPriority w:val="99"/>
    <w:semiHidden/>
    <w:rsid w:val="0003148D"/>
    <w:rPr>
      <w:rFonts w:ascii="Consolas" w:hAnsi="Consolas" w:cs="Consolas"/>
      <w:sz w:val="21"/>
      <w:szCs w:val="21"/>
    </w:rPr>
  </w:style>
  <w:style w:type="paragraph" w:styleId="Textdenotaapeudepgina">
    <w:name w:val="footnote text"/>
    <w:basedOn w:val="Normal"/>
    <w:link w:val="TextdenotaapeudepginaCar"/>
    <w:uiPriority w:val="99"/>
    <w:semiHidden/>
    <w:unhideWhenUsed/>
    <w:rsid w:val="0003148D"/>
    <w:pPr>
      <w:spacing w:line="240" w:lineRule="auto"/>
    </w:pPr>
  </w:style>
  <w:style w:type="character" w:customStyle="1" w:styleId="TextdenotaapeudepginaCar">
    <w:name w:val="Text de nota a peu de pàgina Car"/>
    <w:basedOn w:val="Lletraperdefectedelpargraf"/>
    <w:link w:val="Textdenotaapeudepgina"/>
    <w:uiPriority w:val="99"/>
    <w:semiHidden/>
    <w:rsid w:val="0003148D"/>
    <w:rPr>
      <w:sz w:val="20"/>
      <w:szCs w:val="20"/>
    </w:rPr>
  </w:style>
  <w:style w:type="paragraph" w:styleId="Textdenotaalfinal">
    <w:name w:val="endnote text"/>
    <w:basedOn w:val="Normal"/>
    <w:link w:val="TextdenotaalfinalCar"/>
    <w:uiPriority w:val="99"/>
    <w:semiHidden/>
    <w:unhideWhenUsed/>
    <w:rsid w:val="0003148D"/>
    <w:pPr>
      <w:spacing w:line="240" w:lineRule="auto"/>
    </w:pPr>
  </w:style>
  <w:style w:type="character" w:customStyle="1" w:styleId="TextdenotaalfinalCar">
    <w:name w:val="Text de nota al final Car"/>
    <w:basedOn w:val="Lletraperdefectedelpargraf"/>
    <w:link w:val="Textdenotaalfinal"/>
    <w:uiPriority w:val="99"/>
    <w:semiHidden/>
    <w:rsid w:val="0003148D"/>
    <w:rPr>
      <w:sz w:val="20"/>
      <w:szCs w:val="20"/>
    </w:rPr>
  </w:style>
  <w:style w:type="character" w:customStyle="1" w:styleId="Ttol1Car">
    <w:name w:val="Títol 1 Car"/>
    <w:basedOn w:val="Lletraperdefectedelpargraf"/>
    <w:link w:val="Ttol1"/>
    <w:uiPriority w:val="9"/>
    <w:rsid w:val="004F5E36"/>
    <w:rPr>
      <w:rFonts w:ascii="Arial" w:eastAsia="Times New Roman" w:hAnsi="Arial" w:cs="Times New Roman"/>
      <w:b/>
      <w:sz w:val="20"/>
      <w:szCs w:val="20"/>
      <w:lang w:val="en-GB"/>
    </w:rPr>
  </w:style>
  <w:style w:type="character" w:customStyle="1" w:styleId="Ttol2Car">
    <w:name w:val="Títol 2 Car"/>
    <w:basedOn w:val="Lletraperdefectedelpargraf"/>
    <w:link w:val="Ttol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semiHidden/>
    <w:rsid w:val="0003148D"/>
    <w:rPr>
      <w:rFonts w:asciiTheme="majorHAnsi" w:eastAsiaTheme="majorEastAsia" w:hAnsiTheme="majorHAnsi" w:cstheme="majorBidi"/>
      <w:b/>
      <w:bCs/>
      <w:color w:val="4F81BD" w:themeColor="accent1"/>
    </w:rPr>
  </w:style>
  <w:style w:type="character" w:customStyle="1" w:styleId="Ttol4Car">
    <w:name w:val="Títol 4 Car"/>
    <w:basedOn w:val="Lletraperdefectedelpargraf"/>
    <w:link w:val="Ttol4"/>
    <w:uiPriority w:val="9"/>
    <w:semiHidden/>
    <w:rsid w:val="0003148D"/>
    <w:rPr>
      <w:rFonts w:asciiTheme="majorHAnsi" w:eastAsiaTheme="majorEastAsia" w:hAnsiTheme="majorHAnsi" w:cstheme="majorBidi"/>
      <w:b/>
      <w:bCs/>
      <w:i/>
      <w:iCs/>
      <w:color w:val="4F81BD" w:themeColor="accent1"/>
    </w:rPr>
  </w:style>
  <w:style w:type="character" w:customStyle="1" w:styleId="Ttol5Car">
    <w:name w:val="Títol 5 Car"/>
    <w:basedOn w:val="Lletraperdefectedelpargraf"/>
    <w:link w:val="Ttol5"/>
    <w:uiPriority w:val="9"/>
    <w:semiHidden/>
    <w:rsid w:val="0003148D"/>
    <w:rPr>
      <w:rFonts w:asciiTheme="majorHAnsi" w:eastAsiaTheme="majorEastAsia" w:hAnsiTheme="majorHAnsi" w:cstheme="majorBidi"/>
      <w:color w:val="243F60" w:themeColor="accent1" w:themeShade="7F"/>
    </w:rPr>
  </w:style>
  <w:style w:type="character" w:customStyle="1" w:styleId="Ttol6Car">
    <w:name w:val="Títol 6 Car"/>
    <w:basedOn w:val="Lletraperdefectedelpargraf"/>
    <w:link w:val="Ttol6"/>
    <w:uiPriority w:val="9"/>
    <w:semiHidden/>
    <w:rsid w:val="0003148D"/>
    <w:rPr>
      <w:rFonts w:asciiTheme="majorHAnsi" w:eastAsiaTheme="majorEastAsia" w:hAnsiTheme="majorHAnsi" w:cstheme="majorBidi"/>
      <w:i/>
      <w:iCs/>
      <w:color w:val="243F60" w:themeColor="accent1" w:themeShade="7F"/>
    </w:rPr>
  </w:style>
  <w:style w:type="character" w:customStyle="1" w:styleId="Ttol7Car">
    <w:name w:val="Títol 7 Car"/>
    <w:basedOn w:val="Lletraperdefectedelpargraf"/>
    <w:link w:val="Ttol7"/>
    <w:uiPriority w:val="9"/>
    <w:semiHidden/>
    <w:rsid w:val="0003148D"/>
    <w:rPr>
      <w:rFonts w:asciiTheme="majorHAnsi" w:eastAsiaTheme="majorEastAsia" w:hAnsiTheme="majorHAnsi" w:cstheme="majorBidi"/>
      <w:i/>
      <w:iCs/>
      <w:color w:val="404040" w:themeColor="text1" w:themeTint="BF"/>
    </w:rPr>
  </w:style>
  <w:style w:type="character" w:customStyle="1" w:styleId="Ttol8Car">
    <w:name w:val="Títol 8 Car"/>
    <w:basedOn w:val="Lletraperdefectedelpargraf"/>
    <w:link w:val="Tto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ol9Car">
    <w:name w:val="Títol 9 Car"/>
    <w:basedOn w:val="Lletraperdefectedelpargraf"/>
    <w:link w:val="Ttol9"/>
    <w:uiPriority w:val="9"/>
    <w:semiHidden/>
    <w:rsid w:val="0003148D"/>
    <w:rPr>
      <w:rFonts w:asciiTheme="majorHAnsi" w:eastAsiaTheme="majorEastAsia" w:hAnsiTheme="majorHAnsi" w:cstheme="majorBidi"/>
      <w:i/>
      <w:iCs/>
      <w:color w:val="404040" w:themeColor="text1" w:themeTint="BF"/>
      <w:sz w:val="20"/>
      <w:szCs w:val="20"/>
    </w:rPr>
  </w:style>
  <w:style w:type="paragraph" w:styleId="Ttoldndex">
    <w:name w:val="index heading"/>
    <w:basedOn w:val="Normal"/>
    <w:next w:val="ndex1"/>
    <w:uiPriority w:val="99"/>
    <w:semiHidden/>
    <w:unhideWhenUsed/>
    <w:rsid w:val="0003148D"/>
    <w:rPr>
      <w:rFonts w:asciiTheme="majorHAnsi" w:eastAsiaTheme="majorEastAsia" w:hAnsiTheme="majorHAnsi" w:cstheme="majorBidi"/>
      <w:b/>
      <w:bCs/>
    </w:rPr>
  </w:style>
  <w:style w:type="paragraph" w:styleId="TtoldID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oldelIDC">
    <w:name w:val="TOC Heading"/>
    <w:basedOn w:val="Ttol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Lletraperdefectedelpargraf"/>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palera">
    <w:name w:val="header"/>
    <w:basedOn w:val="Normal"/>
    <w:link w:val="CapaleraCar"/>
    <w:uiPriority w:val="99"/>
    <w:unhideWhenUsed/>
    <w:rsid w:val="005278B7"/>
    <w:pPr>
      <w:tabs>
        <w:tab w:val="clear" w:pos="7100"/>
        <w:tab w:val="center" w:pos="4819"/>
        <w:tab w:val="right" w:pos="9638"/>
      </w:tabs>
      <w:spacing w:line="240" w:lineRule="auto"/>
    </w:pPr>
  </w:style>
  <w:style w:type="character" w:customStyle="1" w:styleId="CapaleraCar">
    <w:name w:val="Capçalera Car"/>
    <w:basedOn w:val="Lletraperdefectedelpargraf"/>
    <w:link w:val="Capalera"/>
    <w:uiPriority w:val="99"/>
    <w:rsid w:val="005278B7"/>
    <w:rPr>
      <w:rFonts w:ascii="Arial" w:eastAsia="Times New Roman" w:hAnsi="Arial" w:cs="Times New Roman"/>
      <w:sz w:val="18"/>
      <w:szCs w:val="20"/>
      <w:lang w:val="en-GB"/>
    </w:rPr>
  </w:style>
  <w:style w:type="paragraph" w:styleId="Peu">
    <w:name w:val="footer"/>
    <w:basedOn w:val="Normal"/>
    <w:link w:val="PeuCar"/>
    <w:uiPriority w:val="99"/>
    <w:unhideWhenUsed/>
    <w:rsid w:val="005278B7"/>
    <w:pPr>
      <w:tabs>
        <w:tab w:val="clear" w:pos="7100"/>
        <w:tab w:val="center" w:pos="4819"/>
        <w:tab w:val="right" w:pos="9638"/>
      </w:tabs>
      <w:spacing w:line="240" w:lineRule="auto"/>
    </w:pPr>
  </w:style>
  <w:style w:type="character" w:customStyle="1" w:styleId="PeuCar">
    <w:name w:val="Peu Car"/>
    <w:basedOn w:val="Lletraperdefectedelpargraf"/>
    <w:link w:val="Peu"/>
    <w:uiPriority w:val="99"/>
    <w:rsid w:val="005278B7"/>
    <w:rPr>
      <w:rFonts w:ascii="Arial" w:eastAsia="Times New Roman" w:hAnsi="Arial" w:cs="Times New Roman"/>
      <w:sz w:val="18"/>
      <w:szCs w:val="20"/>
      <w:lang w:val="en-GB"/>
    </w:rPr>
  </w:style>
  <w:style w:type="table" w:styleId="Taulaambquadrcula">
    <w:name w:val="Table Grid"/>
    <w:basedOn w:val="Tau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904C62"/>
    <w:rPr>
      <w:color w:val="0000FF" w:themeColor="hyperlink"/>
      <w:u w:val="single"/>
    </w:rPr>
  </w:style>
  <w:style w:type="character" w:customStyle="1" w:styleId="eudoraheader">
    <w:name w:val="eudoraheader"/>
    <w:basedOn w:val="Lletraperdefectedelpargraf"/>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CETReference-text">
    <w:name w:val="CET Reference-text"/>
    <w:basedOn w:val="Normal"/>
    <w:rsid w:val="002B5462"/>
    <w:pPr>
      <w:tabs>
        <w:tab w:val="clear" w:pos="7100"/>
      </w:tabs>
      <w:ind w:left="284" w:hanging="284"/>
    </w:pPr>
  </w:style>
  <w:style w:type="character" w:styleId="Textdelcontenidor">
    <w:name w:val="Placeholder Text"/>
    <w:basedOn w:val="Lletraperdefectedelpargraf"/>
    <w:uiPriority w:val="99"/>
    <w:semiHidden/>
    <w:rsid w:val="00BE3F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081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52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2977</Words>
  <Characters>16974</Characters>
  <Application>Microsoft Office Word</Application>
  <DocSecurity>0</DocSecurity>
  <Lines>141</Lines>
  <Paragraphs>39</Paragraphs>
  <ScaleCrop>false</ScaleCrop>
  <HeadingPairs>
    <vt:vector size="8" baseType="variant">
      <vt:variant>
        <vt:lpstr>Título</vt:lpstr>
      </vt:variant>
      <vt:variant>
        <vt:i4>1</vt:i4>
      </vt:variant>
      <vt:variant>
        <vt:lpstr>Títol</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USUARIO</cp:lastModifiedBy>
  <cp:revision>2</cp:revision>
  <cp:lastPrinted>2015-05-12T18:31:00Z</cp:lastPrinted>
  <dcterms:created xsi:type="dcterms:W3CDTF">2022-05-17T10:37:00Z</dcterms:created>
  <dcterms:modified xsi:type="dcterms:W3CDTF">2022-05-17T10:37:00Z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